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541C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01F0924" wp14:editId="61AE71A2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D3862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150E8A05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69D19F1B" w14:textId="77777777" w:rsidR="00656C9D" w:rsidRPr="00F94F2C" w:rsidRDefault="006B54B9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29D1BEFA" w14:textId="77777777" w:rsidR="00151611" w:rsidRPr="00D55CB2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E98536F" w14:textId="77777777" w:rsidR="0088068E" w:rsidRPr="00D55CB2" w:rsidRDefault="0088068E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4C5C8A0" w14:textId="77777777" w:rsidR="00656C9D" w:rsidRPr="00F94F2C" w:rsidRDefault="00B9657A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2AE9358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C4A3F98" wp14:editId="4776B210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68DB7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4E575C0D" w14:textId="77777777" w:rsidR="0059337B" w:rsidRDefault="0059337B" w:rsidP="00F148D3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aim of the policy is to set the framework for the disposal of and the determination of the rental or consideration when disposing of Property to commercial businesses.</w:t>
      </w:r>
    </w:p>
    <w:p w14:paraId="08734AB3" w14:textId="77777777" w:rsidR="0059337B" w:rsidRPr="0059337B" w:rsidRDefault="0059337B" w:rsidP="00F148D3">
      <w:pPr>
        <w:tabs>
          <w:tab w:val="left" w:pos="9026"/>
        </w:tabs>
        <w:spacing w:before="2"/>
        <w:ind w:right="-46"/>
        <w:rPr>
          <w:rFonts w:ascii="Arial" w:hAnsi="Arial" w:cs="Arial"/>
          <w:sz w:val="18"/>
        </w:rPr>
      </w:pPr>
    </w:p>
    <w:p w14:paraId="4A055EB0" w14:textId="77777777" w:rsidR="00F148D3" w:rsidRDefault="00F148D3" w:rsidP="00F148D3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F148D3">
        <w:rPr>
          <w:rFonts w:ascii="Arial" w:hAnsi="Arial" w:cs="Arial"/>
        </w:rPr>
        <w:t xml:space="preserve">City of Cockburn owned or controlled land and facilities </w:t>
      </w:r>
      <w:r w:rsidR="0059337B">
        <w:rPr>
          <w:rFonts w:ascii="Arial" w:hAnsi="Arial" w:cs="Arial"/>
        </w:rPr>
        <w:t xml:space="preserve">(Property) </w:t>
      </w:r>
      <w:r w:rsidR="00321319">
        <w:rPr>
          <w:rFonts w:ascii="Arial" w:hAnsi="Arial" w:cs="Arial"/>
        </w:rPr>
        <w:t>may be</w:t>
      </w:r>
      <w:r w:rsidRPr="00F148D3">
        <w:rPr>
          <w:rFonts w:ascii="Arial" w:hAnsi="Arial" w:cs="Arial"/>
        </w:rPr>
        <w:t xml:space="preserve"> leased</w:t>
      </w:r>
      <w:r w:rsidR="0059337B">
        <w:rPr>
          <w:rFonts w:ascii="Arial" w:hAnsi="Arial" w:cs="Arial"/>
        </w:rPr>
        <w:t>,</w:t>
      </w:r>
      <w:r w:rsidRPr="00F148D3">
        <w:rPr>
          <w:rFonts w:ascii="Arial" w:hAnsi="Arial" w:cs="Arial"/>
        </w:rPr>
        <w:t xml:space="preserve"> licenced </w:t>
      </w:r>
      <w:r w:rsidR="0059337B">
        <w:rPr>
          <w:rFonts w:ascii="Arial" w:hAnsi="Arial" w:cs="Arial"/>
        </w:rPr>
        <w:t xml:space="preserve">or disposed of </w:t>
      </w:r>
      <w:r w:rsidRPr="00F148D3">
        <w:rPr>
          <w:rFonts w:ascii="Arial" w:hAnsi="Arial" w:cs="Arial"/>
        </w:rPr>
        <w:t xml:space="preserve">to </w:t>
      </w:r>
      <w:r w:rsidR="003D68F3">
        <w:rPr>
          <w:rFonts w:ascii="Arial" w:hAnsi="Arial" w:cs="Arial"/>
        </w:rPr>
        <w:t xml:space="preserve">commercial businesses </w:t>
      </w:r>
      <w:r w:rsidR="0059337B">
        <w:rPr>
          <w:rFonts w:ascii="Arial" w:hAnsi="Arial" w:cs="Arial"/>
        </w:rPr>
        <w:t>in terms of applicable requirements, such as:</w:t>
      </w:r>
    </w:p>
    <w:p w14:paraId="4B0E5F7A" w14:textId="77777777" w:rsidR="00F148D3" w:rsidRPr="0059337B" w:rsidRDefault="00F148D3" w:rsidP="00F148D3">
      <w:pPr>
        <w:tabs>
          <w:tab w:val="left" w:pos="9026"/>
        </w:tabs>
        <w:spacing w:before="2"/>
        <w:ind w:right="-46"/>
        <w:rPr>
          <w:rFonts w:ascii="Arial" w:hAnsi="Arial" w:cs="Arial"/>
          <w:sz w:val="18"/>
        </w:rPr>
      </w:pPr>
    </w:p>
    <w:p w14:paraId="0171A77C" w14:textId="77777777" w:rsidR="0059337B" w:rsidRDefault="0059337B" w:rsidP="0088068E">
      <w:pPr>
        <w:pStyle w:val="ListParagraph"/>
        <w:numPr>
          <w:ilvl w:val="0"/>
          <w:numId w:val="14"/>
        </w:numPr>
        <w:tabs>
          <w:tab w:val="left" w:pos="9026"/>
        </w:tabs>
        <w:spacing w:before="2"/>
        <w:ind w:left="360" w:right="-46"/>
        <w:rPr>
          <w:rFonts w:ascii="Arial" w:hAnsi="Arial" w:cs="Arial"/>
        </w:rPr>
      </w:pPr>
      <w:r w:rsidRPr="0059337B">
        <w:rPr>
          <w:rFonts w:ascii="Arial" w:hAnsi="Arial" w:cs="Arial"/>
          <w:i/>
        </w:rPr>
        <w:t>Local Government Act 1995</w:t>
      </w:r>
      <w:r>
        <w:rPr>
          <w:rFonts w:ascii="Arial" w:hAnsi="Arial" w:cs="Arial"/>
        </w:rPr>
        <w:t xml:space="preserve"> (WA) (the Act);</w:t>
      </w:r>
    </w:p>
    <w:p w14:paraId="00330390" w14:textId="77777777" w:rsidR="0059337B" w:rsidRPr="0059337B" w:rsidRDefault="0059337B" w:rsidP="0088068E">
      <w:pPr>
        <w:pStyle w:val="ListParagraph"/>
        <w:numPr>
          <w:ilvl w:val="0"/>
          <w:numId w:val="14"/>
        </w:numPr>
        <w:tabs>
          <w:tab w:val="left" w:pos="9026"/>
        </w:tabs>
        <w:spacing w:before="2"/>
        <w:ind w:left="360" w:right="-46"/>
        <w:rPr>
          <w:rFonts w:ascii="Arial" w:hAnsi="Arial" w:cs="Arial"/>
        </w:rPr>
      </w:pPr>
      <w:r>
        <w:rPr>
          <w:rFonts w:ascii="Arial" w:hAnsi="Arial" w:cs="Arial"/>
          <w:i/>
        </w:rPr>
        <w:t>Land Administration Act 1997 (WA);</w:t>
      </w:r>
    </w:p>
    <w:p w14:paraId="401C51AD" w14:textId="77777777" w:rsidR="0059337B" w:rsidRPr="0059337B" w:rsidRDefault="0059337B" w:rsidP="0088068E">
      <w:pPr>
        <w:pStyle w:val="ListParagraph"/>
        <w:numPr>
          <w:ilvl w:val="0"/>
          <w:numId w:val="14"/>
        </w:numPr>
        <w:tabs>
          <w:tab w:val="left" w:pos="9026"/>
        </w:tabs>
        <w:spacing w:before="2"/>
        <w:ind w:left="360" w:right="-46"/>
        <w:rPr>
          <w:rFonts w:ascii="Arial" w:hAnsi="Arial" w:cs="Arial"/>
        </w:rPr>
      </w:pPr>
      <w:r>
        <w:rPr>
          <w:rFonts w:ascii="Arial" w:hAnsi="Arial" w:cs="Arial"/>
          <w:i/>
        </w:rPr>
        <w:t>Commercial Tenancy (Retail Shops) Agreements Act 1985;</w:t>
      </w:r>
    </w:p>
    <w:p w14:paraId="19763F30" w14:textId="77777777" w:rsidR="0059337B" w:rsidRPr="0059337B" w:rsidRDefault="0059337B" w:rsidP="0088068E">
      <w:pPr>
        <w:pStyle w:val="ListParagraph"/>
        <w:numPr>
          <w:ilvl w:val="0"/>
          <w:numId w:val="14"/>
        </w:numPr>
        <w:tabs>
          <w:tab w:val="left" w:pos="9026"/>
        </w:tabs>
        <w:spacing w:before="2"/>
        <w:ind w:left="360" w:right="-46"/>
        <w:rPr>
          <w:rFonts w:ascii="Arial" w:hAnsi="Arial" w:cs="Arial"/>
        </w:rPr>
      </w:pPr>
      <w:r>
        <w:rPr>
          <w:rFonts w:ascii="Arial" w:hAnsi="Arial" w:cs="Arial"/>
          <w:i/>
        </w:rPr>
        <w:t>Property Law Act 1969;</w:t>
      </w:r>
    </w:p>
    <w:p w14:paraId="6862E0A3" w14:textId="77777777" w:rsidR="0059337B" w:rsidRPr="0059337B" w:rsidRDefault="0059337B" w:rsidP="0088068E">
      <w:pPr>
        <w:pStyle w:val="ListParagraph"/>
        <w:numPr>
          <w:ilvl w:val="0"/>
          <w:numId w:val="14"/>
        </w:numPr>
        <w:tabs>
          <w:tab w:val="left" w:pos="9026"/>
        </w:tabs>
        <w:spacing w:before="2"/>
        <w:ind w:left="360" w:right="-46"/>
        <w:rPr>
          <w:rFonts w:ascii="Arial" w:hAnsi="Arial" w:cs="Arial"/>
        </w:rPr>
      </w:pPr>
      <w:r>
        <w:rPr>
          <w:rFonts w:ascii="Arial" w:hAnsi="Arial" w:cs="Arial"/>
          <w:i/>
        </w:rPr>
        <w:t>Local Government (Uniform Local Provisions) Regulations 1996; and</w:t>
      </w:r>
    </w:p>
    <w:p w14:paraId="3450C301" w14:textId="7FCE94BF" w:rsidR="0059337B" w:rsidRDefault="0059337B" w:rsidP="0088068E">
      <w:pPr>
        <w:pStyle w:val="ListParagraph"/>
        <w:numPr>
          <w:ilvl w:val="0"/>
          <w:numId w:val="14"/>
        </w:numPr>
        <w:tabs>
          <w:tab w:val="left" w:pos="9026"/>
        </w:tabs>
        <w:spacing w:before="2"/>
        <w:ind w:left="360" w:right="-46"/>
        <w:rPr>
          <w:rFonts w:ascii="Arial" w:hAnsi="Arial" w:cs="Arial"/>
        </w:rPr>
      </w:pPr>
      <w:r w:rsidRPr="0059337B">
        <w:rPr>
          <w:rFonts w:ascii="Arial" w:hAnsi="Arial" w:cs="Arial"/>
        </w:rPr>
        <w:t>Delegated Authority ‘Acquisition and Disposal of Property (Land)’</w:t>
      </w:r>
    </w:p>
    <w:p w14:paraId="1955C586" w14:textId="77777777" w:rsidR="00321319" w:rsidRPr="0059337B" w:rsidRDefault="00321319" w:rsidP="00F148D3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</w:rPr>
      </w:pPr>
    </w:p>
    <w:p w14:paraId="0A875616" w14:textId="77777777" w:rsidR="003D68F3" w:rsidRPr="0059337B" w:rsidRDefault="003D68F3" w:rsidP="00F148D3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</w:rPr>
      </w:pPr>
    </w:p>
    <w:p w14:paraId="04FE4A82" w14:textId="77777777" w:rsidR="00656C9D" w:rsidRPr="00F94F2C" w:rsidRDefault="00B9657A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2A7D1FC4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F99F5CB" wp14:editId="40772864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E1AC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D386112" w14:textId="25758484" w:rsidR="0059337B" w:rsidRDefault="00235446" w:rsidP="00235446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The City’s commercial portfolio is defined as:</w:t>
      </w:r>
    </w:p>
    <w:p w14:paraId="6AC842E1" w14:textId="286985FC" w:rsidR="00235446" w:rsidRDefault="00235446" w:rsidP="0059337B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345D9B4" w14:textId="70B14207" w:rsidR="00235446" w:rsidRDefault="00235446" w:rsidP="00235446">
      <w:pPr>
        <w:tabs>
          <w:tab w:val="left" w:pos="1440"/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  <w:t>City owned freehold property, excluding property used for City operations.</w:t>
      </w:r>
    </w:p>
    <w:p w14:paraId="5B3F0685" w14:textId="1C7CBAA9" w:rsidR="00235446" w:rsidRDefault="00235446" w:rsidP="00235446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Land under Management Order where the City has the right to lease for a commercial purpose.</w:t>
      </w:r>
    </w:p>
    <w:p w14:paraId="16F0B23A" w14:textId="77777777" w:rsidR="0059337B" w:rsidRPr="00841C10" w:rsidRDefault="0059337B" w:rsidP="0059337B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  <w:szCs w:val="20"/>
        </w:rPr>
      </w:pPr>
    </w:p>
    <w:p w14:paraId="1D840A31" w14:textId="6A2AB1DC" w:rsidR="00235446" w:rsidRDefault="0059337B" w:rsidP="00235446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  <w:r w:rsidRPr="0059337B">
        <w:rPr>
          <w:rFonts w:ascii="Arial" w:hAnsi="Arial" w:cs="Arial"/>
        </w:rPr>
        <w:t>(</w:t>
      </w:r>
      <w:r w:rsidR="00235446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235446">
        <w:rPr>
          <w:rFonts w:ascii="Arial" w:hAnsi="Arial" w:cs="Arial"/>
        </w:rPr>
        <w:t xml:space="preserve">Leases, </w:t>
      </w:r>
      <w:proofErr w:type="gramStart"/>
      <w:r w:rsidR="00235446">
        <w:rPr>
          <w:rFonts w:ascii="Arial" w:hAnsi="Arial" w:cs="Arial"/>
        </w:rPr>
        <w:t>licences</w:t>
      </w:r>
      <w:proofErr w:type="gramEnd"/>
      <w:r w:rsidR="00235446">
        <w:rPr>
          <w:rFonts w:ascii="Arial" w:hAnsi="Arial" w:cs="Arial"/>
        </w:rPr>
        <w:t xml:space="preserve"> and other disposals of property to commercial businesses shall:</w:t>
      </w:r>
    </w:p>
    <w:p w14:paraId="02F64461" w14:textId="77777777" w:rsidR="00235446" w:rsidRDefault="00235446" w:rsidP="00235446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</w:p>
    <w:p w14:paraId="2AF227E0" w14:textId="31F037DE" w:rsidR="0059337B" w:rsidRDefault="00235446" w:rsidP="00235446">
      <w:pPr>
        <w:tabs>
          <w:tab w:val="left" w:pos="1440"/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="0059337B">
        <w:rPr>
          <w:rFonts w:ascii="Arial" w:hAnsi="Arial" w:cs="Arial"/>
        </w:rPr>
        <w:t>Comply with Section 3.58, and where applica</w:t>
      </w:r>
      <w:r w:rsidR="00C50E91">
        <w:rPr>
          <w:rFonts w:ascii="Arial" w:hAnsi="Arial" w:cs="Arial"/>
        </w:rPr>
        <w:t>ble</w:t>
      </w:r>
      <w:r w:rsidR="0059337B">
        <w:rPr>
          <w:rFonts w:ascii="Arial" w:hAnsi="Arial" w:cs="Arial"/>
        </w:rPr>
        <w:t xml:space="preserve"> Section 3.59 of the </w:t>
      </w:r>
      <w:proofErr w:type="gramStart"/>
      <w:r w:rsidR="0059337B">
        <w:rPr>
          <w:rFonts w:ascii="Arial" w:hAnsi="Arial" w:cs="Arial"/>
        </w:rPr>
        <w:t>Act;</w:t>
      </w:r>
      <w:proofErr w:type="gramEnd"/>
    </w:p>
    <w:p w14:paraId="720B23D6" w14:textId="51A80478" w:rsidR="0059337B" w:rsidRDefault="00235446" w:rsidP="00235446">
      <w:pPr>
        <w:tabs>
          <w:tab w:val="left" w:pos="1440"/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</w:r>
      <w:r w:rsidR="0059337B">
        <w:rPr>
          <w:rFonts w:ascii="Arial" w:hAnsi="Arial" w:cs="Arial"/>
        </w:rPr>
        <w:t xml:space="preserve">Be under authority of Council </w:t>
      </w:r>
      <w:proofErr w:type="gramStart"/>
      <w:r w:rsidR="0059337B">
        <w:rPr>
          <w:rFonts w:ascii="Arial" w:hAnsi="Arial" w:cs="Arial"/>
        </w:rPr>
        <w:t>resolution;</w:t>
      </w:r>
      <w:proofErr w:type="gramEnd"/>
    </w:p>
    <w:p w14:paraId="0BA8DDDE" w14:textId="5C0E273B" w:rsidR="0059337B" w:rsidRDefault="00235446" w:rsidP="00235446">
      <w:pPr>
        <w:tabs>
          <w:tab w:val="left" w:pos="1440"/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</w:r>
      <w:r w:rsidR="0059337B">
        <w:rPr>
          <w:rFonts w:ascii="Arial" w:hAnsi="Arial" w:cs="Arial"/>
        </w:rPr>
        <w:t>Consider the legal financial and reputational interests of the City</w:t>
      </w:r>
      <w:proofErr w:type="gramStart"/>
      <w:r w:rsidR="0059337B">
        <w:rPr>
          <w:rFonts w:ascii="Arial" w:hAnsi="Arial" w:cs="Arial"/>
        </w:rPr>
        <w:t>’;</w:t>
      </w:r>
      <w:proofErr w:type="gramEnd"/>
    </w:p>
    <w:p w14:paraId="05F6BBE9" w14:textId="5E8CDAA2" w:rsidR="0059337B" w:rsidRPr="0059337B" w:rsidRDefault="00235446" w:rsidP="00235446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</w:r>
      <w:r w:rsidR="0059337B">
        <w:rPr>
          <w:rFonts w:ascii="Arial" w:hAnsi="Arial" w:cs="Arial"/>
        </w:rPr>
        <w:t>Have the market value determined in accordance with Section 3.58 of the Act.</w:t>
      </w:r>
    </w:p>
    <w:p w14:paraId="6593834D" w14:textId="77777777" w:rsidR="0059337B" w:rsidRPr="00841C10" w:rsidRDefault="0059337B" w:rsidP="0059337B">
      <w:pPr>
        <w:tabs>
          <w:tab w:val="left" w:pos="9026"/>
        </w:tabs>
        <w:spacing w:before="2"/>
        <w:ind w:right="-46"/>
        <w:rPr>
          <w:rFonts w:ascii="Arial" w:hAnsi="Arial" w:cs="Arial"/>
          <w:sz w:val="14"/>
          <w:szCs w:val="20"/>
        </w:rPr>
      </w:pPr>
    </w:p>
    <w:p w14:paraId="672120E0" w14:textId="5CAC680B" w:rsidR="0088068E" w:rsidRDefault="0013312C" w:rsidP="00235446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59337B">
        <w:rPr>
          <w:rFonts w:ascii="Arial" w:hAnsi="Arial" w:cs="Arial"/>
        </w:rPr>
        <w:t xml:space="preserve">If the value of the transaction </w:t>
      </w:r>
      <w:r w:rsidR="0059337B">
        <w:rPr>
          <w:rFonts w:ascii="Arial" w:hAnsi="Arial" w:cs="Arial"/>
        </w:rPr>
        <w:t>does not exceed $</w:t>
      </w:r>
      <w:r w:rsidRPr="0059337B">
        <w:rPr>
          <w:rFonts w:ascii="Arial" w:hAnsi="Arial" w:cs="Arial"/>
        </w:rPr>
        <w:t xml:space="preserve">750,000 </w:t>
      </w:r>
      <w:r w:rsidR="0059337B">
        <w:rPr>
          <w:rFonts w:ascii="Arial" w:hAnsi="Arial" w:cs="Arial"/>
        </w:rPr>
        <w:t xml:space="preserve">then the transaction is to be dealt with in accordance with Delegated Authority </w:t>
      </w:r>
      <w:r w:rsidR="00841C10">
        <w:rPr>
          <w:rFonts w:ascii="Arial" w:hAnsi="Arial" w:cs="Arial"/>
        </w:rPr>
        <w:t>‘Acquisition and Disposal of Property (Land)’</w:t>
      </w:r>
      <w:r w:rsidR="0059337B">
        <w:rPr>
          <w:rFonts w:ascii="Arial" w:hAnsi="Arial" w:cs="Arial"/>
        </w:rPr>
        <w:t>.</w:t>
      </w:r>
    </w:p>
    <w:p w14:paraId="5D205D1D" w14:textId="3DA109B0" w:rsidR="00235446" w:rsidRDefault="00235446" w:rsidP="00235446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5FD6AD8" w14:textId="2255CB1D" w:rsidR="00235446" w:rsidRDefault="00235446" w:rsidP="00235446">
      <w:p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 xml:space="preserve">Properties available for lease will be advertised in an open and transparent manner for Expression of Interest (EOI). The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is under no obligation to accept any EOI received. Any party/organisation registered with the City will be provided with an opportunity to make submission, however, the availability of the property will also be publicly advertised.</w:t>
      </w:r>
    </w:p>
    <w:p w14:paraId="505DD55A" w14:textId="3ACEB1EA" w:rsidR="00235446" w:rsidRDefault="00235446" w:rsidP="00235446">
      <w:p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</w:p>
    <w:p w14:paraId="268C3E25" w14:textId="2CD062A7" w:rsidR="00235446" w:rsidRDefault="00235446" w:rsidP="00235446">
      <w:p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>Within the last 12 months of an existing lease, a property will be publicly advertised for EOI submissions, with the following exemptions:</w:t>
      </w:r>
    </w:p>
    <w:p w14:paraId="51657470" w14:textId="77777777" w:rsidR="00235446" w:rsidRDefault="00235446" w:rsidP="00235446">
      <w:p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</w:p>
    <w:p w14:paraId="6F845C13" w14:textId="120D8203" w:rsidR="00235446" w:rsidRDefault="00235446" w:rsidP="00235446">
      <w:pPr>
        <w:tabs>
          <w:tab w:val="left" w:pos="72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4.1</w:t>
      </w:r>
      <w:r>
        <w:rPr>
          <w:rFonts w:ascii="Arial" w:hAnsi="Arial" w:cs="Arial"/>
        </w:rPr>
        <w:tab/>
        <w:t xml:space="preserve">The agreement is for six months or </w:t>
      </w:r>
      <w:proofErr w:type="gramStart"/>
      <w:r>
        <w:rPr>
          <w:rFonts w:ascii="Arial" w:hAnsi="Arial" w:cs="Arial"/>
        </w:rPr>
        <w:t>less;</w:t>
      </w:r>
      <w:proofErr w:type="gramEnd"/>
    </w:p>
    <w:p w14:paraId="2B415687" w14:textId="4B62009E" w:rsidR="00235446" w:rsidRDefault="00235446" w:rsidP="00235446">
      <w:pPr>
        <w:tabs>
          <w:tab w:val="left" w:pos="72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 xml:space="preserve">A property is only suitable or logistically accessible to the current lease </w:t>
      </w:r>
      <w:proofErr w:type="gramStart"/>
      <w:r>
        <w:rPr>
          <w:rFonts w:ascii="Arial" w:hAnsi="Arial" w:cs="Arial"/>
        </w:rPr>
        <w:t>holder;</w:t>
      </w:r>
      <w:proofErr w:type="gramEnd"/>
    </w:p>
    <w:p w14:paraId="09BE9D32" w14:textId="70F51E4E" w:rsidR="00235446" w:rsidRDefault="00235446" w:rsidP="00235446">
      <w:pPr>
        <w:tabs>
          <w:tab w:val="left" w:pos="72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  <w:t>The lessee is providing:</w:t>
      </w:r>
    </w:p>
    <w:p w14:paraId="06989BA3" w14:textId="5DC6E54E" w:rsidR="00235446" w:rsidRDefault="00235446" w:rsidP="00235446">
      <w:pPr>
        <w:tabs>
          <w:tab w:val="left" w:pos="72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4.3.1</w:t>
      </w:r>
      <w:r>
        <w:rPr>
          <w:rFonts w:ascii="Arial" w:hAnsi="Arial" w:cs="Arial"/>
        </w:rPr>
        <w:tab/>
        <w:t>An economic outcome to the surrounding area and/or tenancy mix.</w:t>
      </w:r>
    </w:p>
    <w:p w14:paraId="3257C930" w14:textId="247B73D6" w:rsidR="00235446" w:rsidRDefault="00235446" w:rsidP="00235446">
      <w:pPr>
        <w:tabs>
          <w:tab w:val="left" w:pos="72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4.3.2</w:t>
      </w:r>
      <w:r>
        <w:rPr>
          <w:rFonts w:ascii="Arial" w:hAnsi="Arial" w:cs="Arial"/>
        </w:rPr>
        <w:tab/>
        <w:t>Paying on or above full market rent.</w:t>
      </w:r>
    </w:p>
    <w:p w14:paraId="2F179EBA" w14:textId="5527C7B4" w:rsidR="00235446" w:rsidRDefault="00235446" w:rsidP="00235446">
      <w:pPr>
        <w:tabs>
          <w:tab w:val="left" w:pos="72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4.3.3</w:t>
      </w:r>
      <w:r>
        <w:rPr>
          <w:rFonts w:ascii="Arial" w:hAnsi="Arial" w:cs="Arial"/>
        </w:rPr>
        <w:tab/>
        <w:t>Has no rent arrears or past lease defaults.</w:t>
      </w:r>
    </w:p>
    <w:p w14:paraId="72251503" w14:textId="13A3FF04" w:rsidR="00235446" w:rsidRDefault="00235446" w:rsidP="00235446">
      <w:pPr>
        <w:tabs>
          <w:tab w:val="left" w:pos="72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</w:p>
    <w:p w14:paraId="157AF7B9" w14:textId="54A3D933" w:rsidR="00235446" w:rsidRDefault="00235446" w:rsidP="00235446">
      <w:p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  <w:t>Existing Lessee can reapply to an advertised EOI.</w:t>
      </w:r>
    </w:p>
    <w:p w14:paraId="7CF70D89" w14:textId="77777777" w:rsidR="0088068E" w:rsidRPr="00841C10" w:rsidRDefault="0088068E" w:rsidP="0088068E">
      <w:pPr>
        <w:rPr>
          <w:rFonts w:ascii="Arial" w:hAnsi="Arial" w:cs="Arial"/>
          <w:sz w:val="16"/>
          <w:szCs w:val="20"/>
        </w:rPr>
      </w:pPr>
    </w:p>
    <w:p w14:paraId="2CCF2AA5" w14:textId="77777777" w:rsidR="00656C9D" w:rsidRPr="00721265" w:rsidRDefault="00656C9D" w:rsidP="0088068E">
      <w:pPr>
        <w:rPr>
          <w:rFonts w:ascii="Arial" w:hAnsi="Arial" w:cs="Arial"/>
          <w:b/>
          <w:color w:val="FFFFFF"/>
          <w:sz w:val="4"/>
          <w:szCs w:val="4"/>
        </w:rPr>
      </w:pPr>
    </w:p>
    <w:p w14:paraId="22A3C8BF" w14:textId="77777777" w:rsidR="000E1BF6" w:rsidRPr="00721265" w:rsidRDefault="004A46E4" w:rsidP="0088068E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005901D6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2EC6FB2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71A815ED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85E253A" w14:textId="77777777" w:rsidR="00122F79" w:rsidRPr="00F94F2C" w:rsidRDefault="003D68F3" w:rsidP="003D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Management Strategy</w:t>
            </w:r>
          </w:p>
        </w:tc>
      </w:tr>
      <w:tr w:rsidR="000E59C0" w:rsidRPr="00F94F2C" w14:paraId="20EE0D2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29E2C9D" w14:textId="77777777" w:rsidR="00122F79" w:rsidRPr="00F94F2C" w:rsidRDefault="00B9657A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292238E9" w14:textId="77777777" w:rsidR="00122F79" w:rsidRPr="00F94F2C" w:rsidRDefault="006B54B9" w:rsidP="00277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  <w:r w:rsidR="00277E62">
              <w:rPr>
                <w:rFonts w:ascii="Arial" w:hAnsi="Arial" w:cs="Arial"/>
              </w:rPr>
              <w:t xml:space="preserve"> – Land Administration</w:t>
            </w:r>
          </w:p>
        </w:tc>
      </w:tr>
      <w:tr w:rsidR="000E59C0" w:rsidRPr="00F94F2C" w14:paraId="272C707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77A4D3A" w14:textId="77777777" w:rsidR="00122F79" w:rsidRPr="00F94F2C" w:rsidRDefault="00B9657A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9F1AAA5" w14:textId="02A8B74C" w:rsidR="00122F79" w:rsidRPr="00F94F2C" w:rsidRDefault="00B9657A" w:rsidP="00FD4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and Assets</w:t>
            </w:r>
          </w:p>
        </w:tc>
      </w:tr>
      <w:tr w:rsidR="000E59C0" w:rsidRPr="00F94F2C" w14:paraId="06B82E37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EE2FD49" w14:textId="77777777" w:rsidR="00F94F2C" w:rsidRDefault="00B9657A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51BCFFC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706B0C4" w14:textId="77777777" w:rsidR="00122F79" w:rsidRPr="00F94F2C" w:rsidRDefault="006B54B9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2D6B4A24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2D1B3BE" w14:textId="77777777" w:rsidR="00F94F2C" w:rsidRDefault="00B9657A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1E96FF8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3793ECF" w14:textId="243C8817" w:rsidR="00122F79" w:rsidRPr="00F94F2C" w:rsidRDefault="00235446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July 2023</w:t>
            </w:r>
          </w:p>
        </w:tc>
      </w:tr>
      <w:tr w:rsidR="000E59C0" w:rsidRPr="00F94F2C" w14:paraId="355ACC6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80810BD" w14:textId="77777777" w:rsidR="00F94F2C" w:rsidRDefault="00B9657A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876C4FA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F6F8C01" w14:textId="2FA2527E" w:rsidR="00122F79" w:rsidRPr="00F94F2C" w:rsidRDefault="00235446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2025</w:t>
            </w:r>
          </w:p>
        </w:tc>
      </w:tr>
      <w:tr w:rsidR="000E59C0" w:rsidRPr="00F94F2C" w14:paraId="480F3E0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776003D9" w14:textId="77777777" w:rsidR="00F94F2C" w:rsidRDefault="00B9657A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9808EC6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3F20DFC" w14:textId="77777777" w:rsidR="00122F79" w:rsidRPr="00F94F2C" w:rsidRDefault="00E2172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4603461</w:t>
            </w:r>
          </w:p>
        </w:tc>
      </w:tr>
    </w:tbl>
    <w:p w14:paraId="0BCBAFAC" w14:textId="77777777" w:rsidR="00721265" w:rsidRPr="008816A0" w:rsidRDefault="00721265" w:rsidP="00F94F2C"/>
    <w:sectPr w:rsidR="00721265" w:rsidRPr="008816A0" w:rsidSect="00A764B0">
      <w:headerReference w:type="default" r:id="rId8"/>
      <w:footerReference w:type="default" r:id="rId9"/>
      <w:pgSz w:w="11906" w:h="16838" w:code="9"/>
      <w:pgMar w:top="2098" w:right="1416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1ADC" w14:textId="77777777" w:rsidR="00C829F6" w:rsidRDefault="00C829F6">
      <w:r>
        <w:separator/>
      </w:r>
    </w:p>
  </w:endnote>
  <w:endnote w:type="continuationSeparator" w:id="0">
    <w:p w14:paraId="6F20E742" w14:textId="77777777" w:rsidR="00C829F6" w:rsidRDefault="00C8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9AF0C17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C61C8C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04B7" w14:textId="77777777" w:rsidR="00C829F6" w:rsidRDefault="00C829F6">
      <w:r>
        <w:separator/>
      </w:r>
    </w:p>
  </w:footnote>
  <w:footnote w:type="continuationSeparator" w:id="0">
    <w:p w14:paraId="7DA83F74" w14:textId="77777777" w:rsidR="00C829F6" w:rsidRDefault="00C8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176B58DE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37E896A6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70E835F8" w14:textId="77777777" w:rsidR="00623C8C" w:rsidRPr="00712CED" w:rsidRDefault="009A0A01" w:rsidP="0059337B">
          <w:pPr>
            <w:pStyle w:val="Header"/>
            <w:rPr>
              <w:rFonts w:ascii="Arial Bold" w:hAnsi="Arial Bold" w:cs="Arial"/>
              <w:b/>
            </w:rPr>
          </w:pPr>
          <w:r w:rsidRPr="00546FAC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0D759F52" wp14:editId="746DD77D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8068E">
            <w:rPr>
              <w:rFonts w:ascii="Arial Bold" w:hAnsi="Arial Bold" w:cs="Arial"/>
              <w:b/>
            </w:rPr>
            <w:t xml:space="preserve">Commercial </w:t>
          </w:r>
          <w:r w:rsidR="0088068E" w:rsidRPr="00546FAC">
            <w:rPr>
              <w:rFonts w:ascii="Arial Bold" w:hAnsi="Arial Bold" w:cs="Arial"/>
              <w:b/>
            </w:rPr>
            <w:t xml:space="preserve">Leasing </w:t>
          </w:r>
          <w:r w:rsidR="0059337B">
            <w:rPr>
              <w:rFonts w:ascii="Arial Bold" w:hAnsi="Arial Bold" w:cs="Arial"/>
              <w:b/>
            </w:rPr>
            <w:t xml:space="preserve">&amp; Other Dispositions </w:t>
          </w:r>
          <w:r w:rsidR="0088068E">
            <w:rPr>
              <w:rFonts w:ascii="Arial Bold" w:hAnsi="Arial Bold" w:cs="Arial"/>
              <w:b/>
            </w:rPr>
            <w:t>o</w:t>
          </w:r>
          <w:r w:rsidR="0088068E" w:rsidRPr="00546FAC">
            <w:rPr>
              <w:rFonts w:ascii="Arial Bold" w:hAnsi="Arial Bold" w:cs="Arial"/>
              <w:b/>
            </w:rPr>
            <w:t xml:space="preserve">f City Of Cockburn </w:t>
          </w:r>
          <w:r w:rsidR="0088068E">
            <w:rPr>
              <w:rFonts w:ascii="Arial Bold" w:hAnsi="Arial Bold" w:cs="Arial"/>
              <w:b/>
            </w:rPr>
            <w:t xml:space="preserve">Owned or Controlled </w:t>
          </w:r>
          <w:r w:rsidR="0059337B">
            <w:rPr>
              <w:rFonts w:ascii="Arial Bold" w:hAnsi="Arial Bold" w:cs="Arial"/>
              <w:b/>
            </w:rPr>
            <w:t>Property</w:t>
          </w:r>
        </w:p>
      </w:tc>
    </w:tr>
  </w:tbl>
  <w:p w14:paraId="0C3CF42C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F3313"/>
    <w:multiLevelType w:val="hybridMultilevel"/>
    <w:tmpl w:val="5630E87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46F8"/>
    <w:multiLevelType w:val="hybridMultilevel"/>
    <w:tmpl w:val="A69AECA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4A73"/>
    <w:multiLevelType w:val="hybridMultilevel"/>
    <w:tmpl w:val="B63C9AC4"/>
    <w:lvl w:ilvl="0" w:tplc="99886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15A89"/>
    <w:multiLevelType w:val="hybridMultilevel"/>
    <w:tmpl w:val="3ABA5324"/>
    <w:lvl w:ilvl="0" w:tplc="FAC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BC16D9"/>
    <w:multiLevelType w:val="hybridMultilevel"/>
    <w:tmpl w:val="84E82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C3D0D40"/>
    <w:multiLevelType w:val="hybridMultilevel"/>
    <w:tmpl w:val="627CB47C"/>
    <w:lvl w:ilvl="0" w:tplc="99886F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D220F82"/>
    <w:multiLevelType w:val="hybridMultilevel"/>
    <w:tmpl w:val="23F6F8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714F8"/>
    <w:multiLevelType w:val="hybridMultilevel"/>
    <w:tmpl w:val="5868EBD0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02B5D"/>
    <w:multiLevelType w:val="hybridMultilevel"/>
    <w:tmpl w:val="B2922B8A"/>
    <w:lvl w:ilvl="0" w:tplc="0C09000F">
      <w:start w:val="1"/>
      <w:numFmt w:val="decimal"/>
      <w:lvlText w:val="%1."/>
      <w:lvlJc w:val="left"/>
      <w:pPr>
        <w:ind w:left="9750" w:hanging="360"/>
      </w:pPr>
    </w:lvl>
    <w:lvl w:ilvl="1" w:tplc="0C090019" w:tentative="1">
      <w:start w:val="1"/>
      <w:numFmt w:val="lowerLetter"/>
      <w:lvlText w:val="%2."/>
      <w:lvlJc w:val="left"/>
      <w:pPr>
        <w:ind w:left="10470" w:hanging="360"/>
      </w:pPr>
    </w:lvl>
    <w:lvl w:ilvl="2" w:tplc="0C09001B" w:tentative="1">
      <w:start w:val="1"/>
      <w:numFmt w:val="lowerRoman"/>
      <w:lvlText w:val="%3."/>
      <w:lvlJc w:val="right"/>
      <w:pPr>
        <w:ind w:left="11190" w:hanging="180"/>
      </w:pPr>
    </w:lvl>
    <w:lvl w:ilvl="3" w:tplc="0C09000F" w:tentative="1">
      <w:start w:val="1"/>
      <w:numFmt w:val="decimal"/>
      <w:lvlText w:val="%4."/>
      <w:lvlJc w:val="left"/>
      <w:pPr>
        <w:ind w:left="11910" w:hanging="360"/>
      </w:pPr>
    </w:lvl>
    <w:lvl w:ilvl="4" w:tplc="0C090019" w:tentative="1">
      <w:start w:val="1"/>
      <w:numFmt w:val="lowerLetter"/>
      <w:lvlText w:val="%5."/>
      <w:lvlJc w:val="left"/>
      <w:pPr>
        <w:ind w:left="12630" w:hanging="360"/>
      </w:pPr>
    </w:lvl>
    <w:lvl w:ilvl="5" w:tplc="0C09001B" w:tentative="1">
      <w:start w:val="1"/>
      <w:numFmt w:val="lowerRoman"/>
      <w:lvlText w:val="%6."/>
      <w:lvlJc w:val="right"/>
      <w:pPr>
        <w:ind w:left="13350" w:hanging="180"/>
      </w:pPr>
    </w:lvl>
    <w:lvl w:ilvl="6" w:tplc="0C09000F" w:tentative="1">
      <w:start w:val="1"/>
      <w:numFmt w:val="decimal"/>
      <w:lvlText w:val="%7."/>
      <w:lvlJc w:val="left"/>
      <w:pPr>
        <w:ind w:left="14070" w:hanging="360"/>
      </w:pPr>
    </w:lvl>
    <w:lvl w:ilvl="7" w:tplc="0C090019" w:tentative="1">
      <w:start w:val="1"/>
      <w:numFmt w:val="lowerLetter"/>
      <w:lvlText w:val="%8."/>
      <w:lvlJc w:val="left"/>
      <w:pPr>
        <w:ind w:left="14790" w:hanging="360"/>
      </w:pPr>
    </w:lvl>
    <w:lvl w:ilvl="8" w:tplc="0C09001B" w:tentative="1">
      <w:start w:val="1"/>
      <w:numFmt w:val="lowerRoman"/>
      <w:lvlText w:val="%9."/>
      <w:lvlJc w:val="right"/>
      <w:pPr>
        <w:ind w:left="15510" w:hanging="180"/>
      </w:pPr>
    </w:lvl>
  </w:abstractNum>
  <w:abstractNum w:abstractNumId="16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0B2D29"/>
    <w:multiLevelType w:val="hybridMultilevel"/>
    <w:tmpl w:val="6776B4F6"/>
    <w:lvl w:ilvl="0" w:tplc="28F80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72991">
    <w:abstractNumId w:val="9"/>
  </w:num>
  <w:num w:numId="2" w16cid:durableId="309679422">
    <w:abstractNumId w:val="4"/>
  </w:num>
  <w:num w:numId="3" w16cid:durableId="1374188135">
    <w:abstractNumId w:val="3"/>
  </w:num>
  <w:num w:numId="4" w16cid:durableId="1700272821">
    <w:abstractNumId w:val="11"/>
  </w:num>
  <w:num w:numId="5" w16cid:durableId="572548239">
    <w:abstractNumId w:val="7"/>
  </w:num>
  <w:num w:numId="6" w16cid:durableId="2046831181">
    <w:abstractNumId w:val="12"/>
  </w:num>
  <w:num w:numId="7" w16cid:durableId="1751393148">
    <w:abstractNumId w:val="16"/>
  </w:num>
  <w:num w:numId="8" w16cid:durableId="1326937641">
    <w:abstractNumId w:val="0"/>
  </w:num>
  <w:num w:numId="9" w16cid:durableId="1562521432">
    <w:abstractNumId w:val="1"/>
  </w:num>
  <w:num w:numId="10" w16cid:durableId="1777942919">
    <w:abstractNumId w:val="5"/>
  </w:num>
  <w:num w:numId="11" w16cid:durableId="1225483681">
    <w:abstractNumId w:val="15"/>
  </w:num>
  <w:num w:numId="12" w16cid:durableId="460463785">
    <w:abstractNumId w:val="10"/>
  </w:num>
  <w:num w:numId="13" w16cid:durableId="784545506">
    <w:abstractNumId w:val="2"/>
  </w:num>
  <w:num w:numId="14" w16cid:durableId="1990669726">
    <w:abstractNumId w:val="8"/>
  </w:num>
  <w:num w:numId="15" w16cid:durableId="1148743986">
    <w:abstractNumId w:val="13"/>
  </w:num>
  <w:num w:numId="16" w16cid:durableId="1354498600">
    <w:abstractNumId w:val="6"/>
  </w:num>
  <w:num w:numId="17" w16cid:durableId="197818915">
    <w:abstractNumId w:val="14"/>
  </w:num>
  <w:num w:numId="18" w16cid:durableId="439492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4B9"/>
    <w:rsid w:val="00004860"/>
    <w:rsid w:val="00017BC9"/>
    <w:rsid w:val="00023FB9"/>
    <w:rsid w:val="00050F8B"/>
    <w:rsid w:val="00052969"/>
    <w:rsid w:val="0005413B"/>
    <w:rsid w:val="00055B3A"/>
    <w:rsid w:val="0006383C"/>
    <w:rsid w:val="00075196"/>
    <w:rsid w:val="00085992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12C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35446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77E62"/>
    <w:rsid w:val="002824FA"/>
    <w:rsid w:val="0029436A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319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68F3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6FAC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337B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5F3B87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54B9"/>
    <w:rsid w:val="006B6503"/>
    <w:rsid w:val="006C06AC"/>
    <w:rsid w:val="006C167C"/>
    <w:rsid w:val="006C38A1"/>
    <w:rsid w:val="006D14CC"/>
    <w:rsid w:val="006D46D3"/>
    <w:rsid w:val="006F2288"/>
    <w:rsid w:val="00701B87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BAA"/>
    <w:rsid w:val="00773928"/>
    <w:rsid w:val="00795657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4BEB"/>
    <w:rsid w:val="00835AAD"/>
    <w:rsid w:val="00841C10"/>
    <w:rsid w:val="0084361F"/>
    <w:rsid w:val="00846234"/>
    <w:rsid w:val="00850D34"/>
    <w:rsid w:val="00851349"/>
    <w:rsid w:val="0088068E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764B0"/>
    <w:rsid w:val="00A84CD3"/>
    <w:rsid w:val="00A9008C"/>
    <w:rsid w:val="00AA3E86"/>
    <w:rsid w:val="00AB1A42"/>
    <w:rsid w:val="00AB40F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9657A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11FEE"/>
    <w:rsid w:val="00C21C64"/>
    <w:rsid w:val="00C2394E"/>
    <w:rsid w:val="00C272A2"/>
    <w:rsid w:val="00C45D80"/>
    <w:rsid w:val="00C50E91"/>
    <w:rsid w:val="00C51328"/>
    <w:rsid w:val="00C55DF9"/>
    <w:rsid w:val="00C61C8C"/>
    <w:rsid w:val="00C67FAD"/>
    <w:rsid w:val="00C723E2"/>
    <w:rsid w:val="00C75BE0"/>
    <w:rsid w:val="00C829F6"/>
    <w:rsid w:val="00C837E5"/>
    <w:rsid w:val="00CA4438"/>
    <w:rsid w:val="00CC10B8"/>
    <w:rsid w:val="00CD2F0C"/>
    <w:rsid w:val="00CD4391"/>
    <w:rsid w:val="00CF6B08"/>
    <w:rsid w:val="00D10ADC"/>
    <w:rsid w:val="00D1320C"/>
    <w:rsid w:val="00D132A9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55CB2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1727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F6619"/>
    <w:rsid w:val="00F067F9"/>
    <w:rsid w:val="00F06A62"/>
    <w:rsid w:val="00F06F73"/>
    <w:rsid w:val="00F073E8"/>
    <w:rsid w:val="00F10236"/>
    <w:rsid w:val="00F148D3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  <w:rsid w:val="00FD4BB5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6F2F05F"/>
  <w15:docId w15:val="{D24CBA7F-ED24-42AA-9EC1-51541B3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han\AppData\Local\Microsoft\Windows\Temporary%20Internet%20Files\Content.IE5\0ZVIO2EE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827E4-8D62-4ECE-BECD-7016C719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template.dotx</Template>
  <TotalTime>102</TotalTime>
  <Pages>2</Pages>
  <Words>704</Words>
  <Characters>3830</Characters>
  <Application>Microsoft Office Word</Application>
  <DocSecurity>0</DocSecurity>
  <Lines>141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4436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Asiya Khan</dc:creator>
  <cp:lastModifiedBy>Bernadette Pinto</cp:lastModifiedBy>
  <cp:revision>19</cp:revision>
  <cp:lastPrinted>2021-07-16T05:12:00Z</cp:lastPrinted>
  <dcterms:created xsi:type="dcterms:W3CDTF">2019-01-23T00:57:00Z</dcterms:created>
  <dcterms:modified xsi:type="dcterms:W3CDTF">2023-07-21T08:59:00Z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