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65A7" w14:textId="01C1FE88" w:rsidR="00634A09" w:rsidRDefault="003C2B9C" w:rsidP="00634A09">
      <w:pPr>
        <w:pStyle w:val="ZoningHeader"/>
        <w:rPr>
          <w:b/>
          <w:sz w:val="48"/>
          <w:szCs w:val="48"/>
        </w:rPr>
      </w:pPr>
      <w:r w:rsidRPr="008C2B97">
        <w:rPr>
          <w:b/>
          <w:sz w:val="48"/>
          <w:szCs w:val="48"/>
        </w:rPr>
        <w:t>GENERAL INFORMAT</w:t>
      </w:r>
      <w:r w:rsidR="008C2B97">
        <w:rPr>
          <w:b/>
          <w:sz w:val="48"/>
          <w:szCs w:val="48"/>
        </w:rPr>
        <w:t>I</w:t>
      </w:r>
      <w:r w:rsidRPr="008C2B97">
        <w:rPr>
          <w:b/>
          <w:sz w:val="48"/>
          <w:szCs w:val="48"/>
        </w:rPr>
        <w:t>ON ON PLANNING APPROVALS</w:t>
      </w:r>
    </w:p>
    <w:p w14:paraId="1160D81F" w14:textId="1982107A" w:rsidR="001A3060" w:rsidRPr="008C2B97" w:rsidRDefault="00634A09" w:rsidP="008C2B97">
      <w:pPr>
        <w:pStyle w:val="Disclaimer"/>
        <w:spacing w:before="120"/>
        <w:rPr>
          <w:sz w:val="28"/>
          <w:szCs w:val="28"/>
        </w:rPr>
      </w:pPr>
      <w:r w:rsidRPr="008C2B97">
        <w:rPr>
          <w:sz w:val="28"/>
          <w:szCs w:val="28"/>
        </w:rPr>
        <w:t>Planning Information Sheet</w:t>
      </w:r>
    </w:p>
    <w:p w14:paraId="3CF93060" w14:textId="77777777" w:rsidR="00634A09" w:rsidRDefault="00634A09" w:rsidP="00634A09">
      <w:pPr>
        <w:pStyle w:val="Disclaimer"/>
        <w:rPr>
          <w:sz w:val="24"/>
          <w:szCs w:val="24"/>
        </w:rPr>
      </w:pPr>
    </w:p>
    <w:p w14:paraId="396F34C4" w14:textId="7B72831C" w:rsidR="00634A09" w:rsidRPr="00000DA5" w:rsidRDefault="00634A09" w:rsidP="00000DA5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 w:rsidRPr="00634A09">
        <w:rPr>
          <w:i w:val="0"/>
          <w:sz w:val="24"/>
          <w:szCs w:val="24"/>
        </w:rPr>
        <w:t xml:space="preserve">WHAT IS A </w:t>
      </w:r>
      <w:r w:rsidR="003C2B9C">
        <w:rPr>
          <w:i w:val="0"/>
          <w:sz w:val="24"/>
          <w:szCs w:val="24"/>
        </w:rPr>
        <w:t>PLANNING APPROVAL?</w:t>
      </w:r>
    </w:p>
    <w:p w14:paraId="731CB238" w14:textId="77777777" w:rsidR="003C2B9C" w:rsidRDefault="003C2B9C" w:rsidP="00634A09">
      <w:pPr>
        <w:pStyle w:val="Disclaimer"/>
        <w:jc w:val="both"/>
        <w:rPr>
          <w:b w:val="0"/>
          <w:i w:val="0"/>
          <w:color w:val="4A442A" w:themeColor="background2" w:themeShade="40"/>
          <w:sz w:val="23"/>
          <w:szCs w:val="23"/>
        </w:rPr>
      </w:pPr>
    </w:p>
    <w:p w14:paraId="3EC197BC" w14:textId="4F27A12E" w:rsidR="00634A09" w:rsidRPr="003C2B9C" w:rsidRDefault="003C2B9C" w:rsidP="00634A09">
      <w:pPr>
        <w:pStyle w:val="Disclaimer"/>
        <w:jc w:val="both"/>
        <w:rPr>
          <w:rFonts w:eastAsiaTheme="minorEastAsia"/>
          <w:b w:val="0"/>
          <w:i w:val="0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eastAsiaTheme="minorEastAsia"/>
          <w:b w:val="0"/>
          <w:i w:val="0"/>
          <w:color w:val="4A442A" w:themeColor="background2" w:themeShade="40"/>
          <w:sz w:val="24"/>
          <w:szCs w:val="24"/>
          <w:lang w:eastAsia="en-US"/>
        </w:rPr>
        <w:t>A Planning Approval is required prior to undertaking development in the City of Cockburn (some exemptions do apply see below). This can include construction of a house, shed, undertaking a home occupation or business and includes the use of an existing building. Please note that planning approval is separate to a building permit and that in many instances, both a planning approval and building permit are required prior to the commencement of development.</w:t>
      </w:r>
    </w:p>
    <w:p w14:paraId="4EA30E25" w14:textId="75BB2083" w:rsidR="00634A09" w:rsidRDefault="00634A09" w:rsidP="003C2B9C">
      <w:pPr>
        <w:pStyle w:val="Disclaimer"/>
        <w:ind w:left="720"/>
        <w:jc w:val="both"/>
        <w:rPr>
          <w:sz w:val="24"/>
          <w:szCs w:val="24"/>
        </w:rPr>
      </w:pPr>
    </w:p>
    <w:p w14:paraId="1C8C54EF" w14:textId="42E0D5DB" w:rsidR="00634A09" w:rsidRPr="00000DA5" w:rsidRDefault="003C2B9C" w:rsidP="00000DA5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WHY IS PLANNING APPROVAL REQUIRED?</w:t>
      </w:r>
    </w:p>
    <w:p w14:paraId="4678F984" w14:textId="77777777" w:rsidR="003C2B9C" w:rsidRDefault="003C2B9C" w:rsidP="00DB53F4">
      <w:pPr>
        <w:pStyle w:val="Heading3"/>
        <w:rPr>
          <w:rFonts w:cs="Arial"/>
          <w:b w:val="0"/>
          <w:bCs/>
          <w:color w:val="4A442A" w:themeColor="background2" w:themeShade="40"/>
          <w:sz w:val="23"/>
          <w:szCs w:val="23"/>
        </w:rPr>
      </w:pPr>
    </w:p>
    <w:p w14:paraId="2A091751" w14:textId="56A1523C" w:rsidR="003C2B9C" w:rsidRPr="003C2B9C" w:rsidRDefault="003C2B9C" w:rsidP="003C2B9C">
      <w:pPr>
        <w:pStyle w:val="Heading3"/>
        <w:ind w:right="255"/>
        <w:rPr>
          <w:b w:val="0"/>
          <w:color w:val="4A442A" w:themeColor="background2" w:themeShade="40"/>
          <w:szCs w:val="24"/>
        </w:rPr>
      </w:pPr>
      <w:r w:rsidRPr="003C2B9C">
        <w:rPr>
          <w:b w:val="0"/>
          <w:color w:val="4A442A" w:themeColor="background2" w:themeShade="40"/>
          <w:szCs w:val="24"/>
        </w:rPr>
        <w:t xml:space="preserve">Planning approval is required to ensure that any development being undertaken within the City of Cockburn complies with the relevant planning requirements and legislation. This includes the City’s </w:t>
      </w:r>
      <w:r w:rsidR="00382E59">
        <w:rPr>
          <w:b w:val="0"/>
          <w:color w:val="4A442A" w:themeColor="background2" w:themeShade="40"/>
          <w:szCs w:val="24"/>
        </w:rPr>
        <w:t>Town</w:t>
      </w:r>
      <w:r w:rsidRPr="003C2B9C">
        <w:rPr>
          <w:b w:val="0"/>
          <w:color w:val="4A442A" w:themeColor="background2" w:themeShade="40"/>
          <w:szCs w:val="24"/>
        </w:rPr>
        <w:t xml:space="preserve"> Planning Scheme No.</w:t>
      </w:r>
      <w:r>
        <w:rPr>
          <w:b w:val="0"/>
          <w:color w:val="4A442A" w:themeColor="background2" w:themeShade="40"/>
          <w:szCs w:val="24"/>
        </w:rPr>
        <w:t xml:space="preserve"> </w:t>
      </w:r>
      <w:r w:rsidR="00A118E9">
        <w:rPr>
          <w:b w:val="0"/>
          <w:color w:val="4A442A" w:themeColor="background2" w:themeShade="40"/>
          <w:szCs w:val="24"/>
        </w:rPr>
        <w:t>3 (</w:t>
      </w:r>
      <w:r w:rsidR="00382E59">
        <w:rPr>
          <w:b w:val="0"/>
          <w:color w:val="4A442A" w:themeColor="background2" w:themeShade="40"/>
          <w:szCs w:val="24"/>
        </w:rPr>
        <w:t>T</w:t>
      </w:r>
      <w:r w:rsidRPr="003C2B9C">
        <w:rPr>
          <w:b w:val="0"/>
          <w:color w:val="4A442A" w:themeColor="background2" w:themeShade="40"/>
          <w:szCs w:val="24"/>
        </w:rPr>
        <w:t>PS 3), Residential Design Codes</w:t>
      </w:r>
      <w:r>
        <w:rPr>
          <w:b w:val="0"/>
          <w:color w:val="4A442A" w:themeColor="background2" w:themeShade="40"/>
          <w:szCs w:val="24"/>
        </w:rPr>
        <w:t xml:space="preserve"> (R-Codes)</w:t>
      </w:r>
      <w:r w:rsidRPr="003C2B9C">
        <w:rPr>
          <w:b w:val="0"/>
          <w:color w:val="4A442A" w:themeColor="background2" w:themeShade="40"/>
          <w:szCs w:val="24"/>
        </w:rPr>
        <w:t>, Local Planning Policies and other statutory documents.</w:t>
      </w:r>
    </w:p>
    <w:p w14:paraId="2EFC835D" w14:textId="72EFC423" w:rsidR="00DB53F4" w:rsidRPr="003C2B9C" w:rsidRDefault="00DB53F4" w:rsidP="003C2B9C">
      <w:p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sz w:val="24"/>
          <w:szCs w:val="24"/>
        </w:rPr>
      </w:pPr>
    </w:p>
    <w:p w14:paraId="50001A44" w14:textId="78EC8F1E" w:rsidR="00DB53F4" w:rsidRPr="00000DA5" w:rsidRDefault="003C2B9C" w:rsidP="00000DA5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DO I ALWAYS REQUIRE PLANNING APPROVAL?</w:t>
      </w:r>
    </w:p>
    <w:p w14:paraId="263B722D" w14:textId="77777777" w:rsidR="003C2B9C" w:rsidRDefault="003C2B9C" w:rsidP="00DB53F4">
      <w:pPr>
        <w:spacing w:after="0"/>
        <w:rPr>
          <w:rFonts w:ascii="Arial" w:hAnsi="Arial" w:cs="Arial"/>
          <w:color w:val="4A442A" w:themeColor="background2" w:themeShade="40"/>
          <w:sz w:val="23"/>
          <w:szCs w:val="23"/>
        </w:rPr>
      </w:pPr>
    </w:p>
    <w:p w14:paraId="391F6C2A" w14:textId="7ECC9DE1" w:rsidR="003C2B9C" w:rsidRPr="003C2B9C" w:rsidRDefault="003C2B9C" w:rsidP="003C2B9C">
      <w:pPr>
        <w:autoSpaceDE w:val="0"/>
        <w:autoSpaceDN w:val="0"/>
        <w:adjustRightInd w:val="0"/>
        <w:spacing w:after="0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Certain types of development are permitted and are exempt from requiring plan</w:t>
      </w:r>
      <w:r w:rsidR="00A118E9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ning approval under the City’s </w:t>
      </w:r>
      <w:r w:rsidR="00382E59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T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PS 3 and therefore do not require a planning application to be lodged, these include: </w:t>
      </w:r>
    </w:p>
    <w:p w14:paraId="3F2AC342" w14:textId="77777777" w:rsidR="003C2B9C" w:rsidRPr="003C2B9C" w:rsidRDefault="003C2B9C" w:rsidP="003C2B9C">
      <w:p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</w:p>
    <w:p w14:paraId="4DAF4358" w14:textId="57B76168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Internal works to a building (except for heritage places); </w:t>
      </w:r>
    </w:p>
    <w:p w14:paraId="67585FDB" w14:textId="485F7211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Single Houses that comply with the deemed-to-comply provisions of the R-Codes or the City’s Local Planning Policy </w:t>
      </w:r>
      <w:r w:rsidR="002F0FB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LPP 1.1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 - Residential Design Codes Alternative Deemed to Comply Provisions and are not heritage places and are consistent with an applicable structure plan; </w:t>
      </w:r>
    </w:p>
    <w:p w14:paraId="446255CF" w14:textId="15F87EAB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Demolition of buildings (except for heritage places); </w:t>
      </w:r>
    </w:p>
    <w:p w14:paraId="0B82CCB4" w14:textId="73EF6F69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Home Offices; </w:t>
      </w:r>
    </w:p>
    <w:p w14:paraId="33F3DB73" w14:textId="2248983E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Temporary works in existence for less than 48 hours; </w:t>
      </w:r>
    </w:p>
    <w:p w14:paraId="13D9AE73" w14:textId="54739604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E</w:t>
      </w:r>
      <w:r w:rsidR="00EF6356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xempted signage (as per City’s T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PS 3 (except for heritage places); </w:t>
      </w:r>
    </w:p>
    <w:p w14:paraId="58C36799" w14:textId="77777777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Fences (compliant with the deemed to comply provisions of the Residential Design Codes); </w:t>
      </w:r>
    </w:p>
    <w:p w14:paraId="3F97B8C6" w14:textId="7EC8EC2F" w:rsidR="003C2B9C" w:rsidRPr="003C2B9C" w:rsidRDefault="003C2B9C" w:rsidP="003C2B9C">
      <w:pPr>
        <w:pStyle w:val="ListParagraph"/>
        <w:numPr>
          <w:ilvl w:val="0"/>
          <w:numId w:val="11"/>
        </w:numPr>
        <w:tabs>
          <w:tab w:val="left" w:pos="15451"/>
        </w:tabs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Two Grouped Dwellings where they are a </w:t>
      </w:r>
      <w:r w:rsidR="00A118E9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‘P’ use in the zoning table of L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PS 3 and compliant with Local Planning Policy </w:t>
      </w:r>
      <w:r w:rsidR="002F0FB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LPP 1.2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 </w:t>
      </w:r>
      <w:r w:rsidR="002F0FB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- 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Residential Design Guidelines and any other relevant statutory Policy;</w:t>
      </w:r>
    </w:p>
    <w:p w14:paraId="66BD4173" w14:textId="0426AB29" w:rsidR="003C2B9C" w:rsidRPr="003C2B9C" w:rsidRDefault="003C2B9C" w:rsidP="003C2B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Sheds/Outbuildings, with a: </w:t>
      </w:r>
    </w:p>
    <w:p w14:paraId="0584C367" w14:textId="08074FA2" w:rsidR="003C2B9C" w:rsidRPr="003C2B9C" w:rsidRDefault="00F81998" w:rsidP="003C2B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36" w:line="240" w:lineRule="auto"/>
        <w:ind w:right="255" w:hanging="11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Maximum of 100m² in area and 2.4</w:t>
      </w:r>
      <w:r w:rsidR="003C2B9C"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m wall height in Development and Residential </w:t>
      </w:r>
      <w:r w:rsidR="00A118E9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ab/>
      </w:r>
      <w:r w:rsidR="003C2B9C"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zones; </w:t>
      </w:r>
    </w:p>
    <w:p w14:paraId="51490C1A" w14:textId="14C61495" w:rsidR="003C2B9C" w:rsidRPr="003C2B9C" w:rsidRDefault="003C2B9C" w:rsidP="003C2B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36" w:line="240" w:lineRule="auto"/>
        <w:ind w:right="255" w:hanging="11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lastRenderedPageBreak/>
        <w:t>Maximum of 100m² in area and 4.5m wall height in Rural and Rural Living zones;</w:t>
      </w:r>
      <w:r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 and</w:t>
      </w:r>
    </w:p>
    <w:p w14:paraId="7A62186F" w14:textId="5121A3AF" w:rsidR="003C2B9C" w:rsidRPr="003C2B9C" w:rsidRDefault="003C2B9C" w:rsidP="003C2B9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36" w:line="240" w:lineRule="auto"/>
        <w:ind w:right="255" w:hanging="11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Maximum of 200m² in area and 4.5m wall height in Resource zone; </w:t>
      </w:r>
    </w:p>
    <w:p w14:paraId="2050561C" w14:textId="4F5B475C" w:rsidR="003C2B9C" w:rsidRPr="003C2B9C" w:rsidRDefault="003C2B9C" w:rsidP="003C2B9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Located in a Building Envelope; </w:t>
      </w:r>
    </w:p>
    <w:p w14:paraId="45042658" w14:textId="73C0176E" w:rsidR="003C2B9C" w:rsidRPr="003C2B9C" w:rsidRDefault="003C2B9C" w:rsidP="003C2B9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36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Single Houses and two grouped dwellings that comply with a </w:t>
      </w:r>
      <w:r w:rsidR="00A118E9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Local Development Plan</w:t>
      </w: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; and</w:t>
      </w:r>
    </w:p>
    <w:p w14:paraId="4B3FE452" w14:textId="4A0F72AD" w:rsidR="003C2B9C" w:rsidRPr="003C2B9C" w:rsidRDefault="003C2B9C" w:rsidP="003C2B9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255"/>
        <w:jc w:val="both"/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>Family Day Care Centres.</w:t>
      </w:r>
    </w:p>
    <w:p w14:paraId="6F4E9C7D" w14:textId="77777777" w:rsidR="003C2B9C" w:rsidRPr="003C2B9C" w:rsidRDefault="003C2B9C" w:rsidP="003C2B9C">
      <w:p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sz w:val="24"/>
          <w:szCs w:val="24"/>
        </w:rPr>
      </w:pPr>
    </w:p>
    <w:p w14:paraId="35D65136" w14:textId="4C953D0A" w:rsidR="003C2B9C" w:rsidRPr="00000DA5" w:rsidRDefault="003C2B9C" w:rsidP="003C2B9C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WHAT OTHER INFORMATION DO I NEED TO KNOW?</w:t>
      </w:r>
    </w:p>
    <w:p w14:paraId="5D53B4DE" w14:textId="77777777" w:rsidR="003C2B9C" w:rsidRPr="003C2B9C" w:rsidRDefault="003C2B9C" w:rsidP="003C2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en-US"/>
        </w:rPr>
      </w:pPr>
    </w:p>
    <w:p w14:paraId="6CC71FA5" w14:textId="2A588BFB" w:rsidR="004312E4" w:rsidRPr="003C2B9C" w:rsidRDefault="003C2B9C" w:rsidP="003C2B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/>
          <w:sz w:val="24"/>
          <w:szCs w:val="24"/>
          <w:lang w:eastAsia="en-US"/>
        </w:rPr>
      </w:pPr>
      <w:r w:rsidRPr="003C2B9C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For more information about what forms, fees and information is required please </w:t>
      </w:r>
      <w:r w:rsidR="00FC5081">
        <w:rPr>
          <w:rFonts w:ascii="Arial" w:eastAsiaTheme="minorEastAsia" w:hAnsi="Arial" w:cs="Arial"/>
          <w:color w:val="4A442A" w:themeColor="background2" w:themeShade="40"/>
          <w:sz w:val="24"/>
          <w:szCs w:val="24"/>
          <w:lang w:eastAsia="en-US"/>
        </w:rPr>
        <w:t xml:space="preserve">visit </w:t>
      </w:r>
      <w:hyperlink r:id="rId7" w:history="1">
        <w:r w:rsidR="001D20FD">
          <w:rPr>
            <w:rStyle w:val="Hyperlink"/>
            <w:sz w:val="24"/>
            <w:szCs w:val="24"/>
          </w:rPr>
          <w:t>Online Planning Applications - City of Cockburn</w:t>
        </w:r>
      </w:hyperlink>
    </w:p>
    <w:p w14:paraId="17FE7049" w14:textId="77777777" w:rsidR="00000DA5" w:rsidRPr="00000DA5" w:rsidRDefault="00000DA5" w:rsidP="00000DA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  <w:lang w:eastAsia="en-US"/>
        </w:rPr>
      </w:pPr>
    </w:p>
    <w:sectPr w:rsidR="00000DA5" w:rsidRPr="00000DA5" w:rsidSect="008C2B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722" w:right="567" w:bottom="1134" w:left="56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74B9" w14:textId="77777777" w:rsidR="007E2F62" w:rsidRDefault="007E2F62" w:rsidP="00206626">
      <w:pPr>
        <w:spacing w:after="0" w:line="240" w:lineRule="auto"/>
      </w:pPr>
      <w:r>
        <w:separator/>
      </w:r>
    </w:p>
  </w:endnote>
  <w:endnote w:type="continuationSeparator" w:id="0">
    <w:p w14:paraId="2BA9ED69" w14:textId="77777777" w:rsidR="007E2F62" w:rsidRDefault="007E2F62" w:rsidP="0020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B78B" w14:textId="77777777" w:rsidR="006236C3" w:rsidRDefault="006236C3" w:rsidP="007108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5425C" w14:textId="77777777" w:rsidR="006236C3" w:rsidRDefault="006236C3" w:rsidP="002066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86D4" w14:textId="77777777" w:rsidR="006236C3" w:rsidRPr="00710813" w:rsidRDefault="006236C3" w:rsidP="00710813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</w:pP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instrText xml:space="preserve">PAGE  </w:instrText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="00F81998">
      <w:rPr>
        <w:rStyle w:val="PageNumber"/>
        <w:rFonts w:ascii="Arial" w:hAnsi="Arial" w:cs="Arial"/>
        <w:b/>
        <w:noProof/>
        <w:color w:val="595959" w:themeColor="text1" w:themeTint="A6"/>
        <w:sz w:val="14"/>
        <w:szCs w:val="14"/>
      </w:rPr>
      <w:t>2</w:t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end"/>
    </w:r>
  </w:p>
  <w:p w14:paraId="676E27C3" w14:textId="77777777" w:rsidR="006236C3" w:rsidRPr="00903D78" w:rsidRDefault="006236C3" w:rsidP="00206626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Arial" w:hAnsi="Arial" w:cs="Arial"/>
        <w:b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City of Cockburn Zoning Statement</w:t>
    </w:r>
  </w:p>
  <w:p w14:paraId="07F85F40" w14:textId="77777777" w:rsidR="006236C3" w:rsidRPr="00206626" w:rsidRDefault="006236C3" w:rsidP="0020662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9 Coleville Crescent, Spearwood WA 6163  PO Box 1215, Bibra Lake DC WA 6965</w:t>
    </w:r>
    <w:r w:rsidRPr="00903D78"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  <w:t xml:space="preserve"> 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>P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08 9411 3444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 xml:space="preserve">F 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08 9411 3333</w:t>
    </w:r>
    <w:r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 </w:t>
    </w:r>
    <w:r w:rsidRPr="00AF76D4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cockburn.wa.gov.au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ED2D" w14:textId="3096D577" w:rsidR="006236C3" w:rsidRDefault="00F338E3" w:rsidP="0071081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595959" w:themeColor="text1" w:themeTint="A6"/>
        <w:sz w:val="14"/>
        <w:szCs w:val="14"/>
        <w:lang w:val="en-US"/>
      </w:rPr>
    </w:pPr>
    <w:r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Information Sheet</w:t>
    </w:r>
  </w:p>
  <w:p w14:paraId="6D0CB65A" w14:textId="77777777" w:rsidR="008C2B97" w:rsidRPr="00206626" w:rsidRDefault="008C2B97" w:rsidP="008C2B9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9 Coleville Crescent, Spearwood WA 6163  PO Box 1215, Bibra Lake DC WA 6965</w:t>
    </w:r>
    <w:r w:rsidRPr="00903D78"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  <w:t xml:space="preserve"> 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>P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08 9411 3444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 xml:space="preserve">F 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08 9411 3333</w:t>
    </w:r>
    <w:r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 </w:t>
    </w:r>
    <w:r w:rsidRPr="00AF76D4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cockburn.wa.gov.au</w:t>
    </w:r>
  </w:p>
  <w:p w14:paraId="6925DFEF" w14:textId="77777777" w:rsidR="008C2B97" w:rsidRPr="00710813" w:rsidRDefault="008C2B97" w:rsidP="0071081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C042" w14:textId="77777777" w:rsidR="007E2F62" w:rsidRDefault="007E2F62" w:rsidP="00206626">
      <w:pPr>
        <w:spacing w:after="0" w:line="240" w:lineRule="auto"/>
      </w:pPr>
      <w:r>
        <w:separator/>
      </w:r>
    </w:p>
  </w:footnote>
  <w:footnote w:type="continuationSeparator" w:id="0">
    <w:p w14:paraId="77977C19" w14:textId="77777777" w:rsidR="007E2F62" w:rsidRDefault="007E2F62" w:rsidP="0020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D1A2" w14:textId="387F8CE0" w:rsidR="006236C3" w:rsidRDefault="008C2B97" w:rsidP="00206626">
    <w:pPr>
      <w:tabs>
        <w:tab w:val="left" w:pos="3461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3360" behindDoc="1" locked="0" layoutInCell="1" allowOverlap="1" wp14:anchorId="104C3D2D" wp14:editId="1B874F48">
          <wp:simplePos x="0" y="0"/>
          <wp:positionH relativeFrom="page">
            <wp:posOffset>-130810</wp:posOffset>
          </wp:positionH>
          <wp:positionV relativeFrom="page">
            <wp:posOffset>-74759</wp:posOffset>
          </wp:positionV>
          <wp:extent cx="7831560" cy="1800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56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C3"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1" locked="0" layoutInCell="1" allowOverlap="1" wp14:anchorId="6C6E32B1" wp14:editId="04D4001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0" cy="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_Header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C3">
      <w:rPr>
        <w:rFonts w:ascii="Tahoma" w:hAnsi="Tahoma" w:cs="Tahoma"/>
        <w:sz w:val="16"/>
      </w:rPr>
      <w:tab/>
    </w:r>
  </w:p>
  <w:p w14:paraId="1F2805AD" w14:textId="77777777" w:rsidR="006236C3" w:rsidRDefault="00623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BF82" w14:textId="77777777" w:rsidR="006236C3" w:rsidRDefault="006236C3">
    <w:pPr>
      <w:pStyle w:val="Header"/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312" behindDoc="1" locked="0" layoutInCell="1" allowOverlap="1" wp14:anchorId="1EA75B07" wp14:editId="007839AB">
          <wp:simplePos x="0" y="0"/>
          <wp:positionH relativeFrom="page">
            <wp:posOffset>-148281</wp:posOffset>
          </wp:positionH>
          <wp:positionV relativeFrom="page">
            <wp:posOffset>-107092</wp:posOffset>
          </wp:positionV>
          <wp:extent cx="7831574" cy="18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57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0D3"/>
    <w:multiLevelType w:val="hybridMultilevel"/>
    <w:tmpl w:val="291EE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8629E"/>
    <w:multiLevelType w:val="hybridMultilevel"/>
    <w:tmpl w:val="EBFA92A0"/>
    <w:lvl w:ilvl="0" w:tplc="66DA16C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11D75"/>
    <w:multiLevelType w:val="hybridMultilevel"/>
    <w:tmpl w:val="865C17C6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059C"/>
    <w:multiLevelType w:val="hybridMultilevel"/>
    <w:tmpl w:val="D53E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09CE"/>
    <w:multiLevelType w:val="hybridMultilevel"/>
    <w:tmpl w:val="8D4400C4"/>
    <w:lvl w:ilvl="0" w:tplc="66DA16C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82FE3"/>
    <w:multiLevelType w:val="hybridMultilevel"/>
    <w:tmpl w:val="907EB68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C1E65"/>
    <w:multiLevelType w:val="hybridMultilevel"/>
    <w:tmpl w:val="19D2F9D2"/>
    <w:lvl w:ilvl="0" w:tplc="DFF2EB50">
      <w:start w:val="1"/>
      <w:numFmt w:val="lowerLetter"/>
      <w:lvlText w:val="(%1)"/>
      <w:lvlJc w:val="left"/>
      <w:pPr>
        <w:ind w:left="975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B1A09"/>
    <w:multiLevelType w:val="hybridMultilevel"/>
    <w:tmpl w:val="0204A3A4"/>
    <w:lvl w:ilvl="0" w:tplc="DFE60FC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3A447E3D"/>
    <w:multiLevelType w:val="hybridMultilevel"/>
    <w:tmpl w:val="73E6C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1C40"/>
    <w:multiLevelType w:val="hybridMultilevel"/>
    <w:tmpl w:val="3F061416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16E82"/>
    <w:multiLevelType w:val="hybridMultilevel"/>
    <w:tmpl w:val="8ACAE996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622A7"/>
    <w:multiLevelType w:val="hybridMultilevel"/>
    <w:tmpl w:val="4D0AE748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F364F"/>
    <w:multiLevelType w:val="hybridMultilevel"/>
    <w:tmpl w:val="515CAB82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626"/>
    <w:rsid w:val="00000DA5"/>
    <w:rsid w:val="00041860"/>
    <w:rsid w:val="000F7811"/>
    <w:rsid w:val="001241A3"/>
    <w:rsid w:val="001A3060"/>
    <w:rsid w:val="001D20FD"/>
    <w:rsid w:val="00206626"/>
    <w:rsid w:val="002F0FBC"/>
    <w:rsid w:val="00382E59"/>
    <w:rsid w:val="003C2B9C"/>
    <w:rsid w:val="004312E4"/>
    <w:rsid w:val="00465920"/>
    <w:rsid w:val="004A2418"/>
    <w:rsid w:val="004D2E92"/>
    <w:rsid w:val="005902F6"/>
    <w:rsid w:val="006236C3"/>
    <w:rsid w:val="00634A09"/>
    <w:rsid w:val="006F7BE9"/>
    <w:rsid w:val="00710813"/>
    <w:rsid w:val="00771528"/>
    <w:rsid w:val="007E2F62"/>
    <w:rsid w:val="00884F93"/>
    <w:rsid w:val="008C2B97"/>
    <w:rsid w:val="008E4340"/>
    <w:rsid w:val="00A118E9"/>
    <w:rsid w:val="00D251F0"/>
    <w:rsid w:val="00D96D5C"/>
    <w:rsid w:val="00DB53F4"/>
    <w:rsid w:val="00E839DD"/>
    <w:rsid w:val="00EE44B0"/>
    <w:rsid w:val="00EF6356"/>
    <w:rsid w:val="00F338E3"/>
    <w:rsid w:val="00F71B0D"/>
    <w:rsid w:val="00F81998"/>
    <w:rsid w:val="00FB7307"/>
    <w:rsid w:val="00FC5081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1F88BB"/>
  <w14:defaultImageDpi w14:val="300"/>
  <w15:docId w15:val="{E6530167-3E86-4778-BDFA-708BECB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26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4A0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autoRedefine/>
    <w:qFormat/>
    <w:rsid w:val="00D251F0"/>
    <w:pPr>
      <w:spacing w:after="0"/>
    </w:pPr>
    <w:rPr>
      <w:rFonts w:ascii="Arial" w:hAnsi="Arial" w:cs="Arial"/>
      <w:b/>
      <w:bCs/>
      <w:color w:val="0C649D"/>
      <w:sz w:val="24"/>
      <w:szCs w:val="24"/>
    </w:rPr>
  </w:style>
  <w:style w:type="paragraph" w:customStyle="1" w:styleId="TableBody">
    <w:name w:val="Table Body"/>
    <w:basedOn w:val="Normal"/>
    <w:autoRedefine/>
    <w:qFormat/>
    <w:rsid w:val="00634A09"/>
    <w:pPr>
      <w:spacing w:after="0"/>
      <w:ind w:right="-108"/>
    </w:pPr>
    <w:rPr>
      <w:rFonts w:ascii="Arial" w:hAnsi="Arial" w:cs="Arial"/>
      <w:b/>
      <w:color w:val="0070C0"/>
      <w:sz w:val="24"/>
      <w:szCs w:val="24"/>
    </w:rPr>
  </w:style>
  <w:style w:type="paragraph" w:customStyle="1" w:styleId="ZoningHeadingSub">
    <w:name w:val="Zoning Heading Sub"/>
    <w:basedOn w:val="TableBody"/>
    <w:qFormat/>
    <w:rsid w:val="001241A3"/>
    <w:pPr>
      <w:widowControl w:val="0"/>
      <w:ind w:right="357"/>
    </w:pPr>
    <w:rPr>
      <w:sz w:val="28"/>
      <w:szCs w:val="28"/>
    </w:rPr>
  </w:style>
  <w:style w:type="character" w:customStyle="1" w:styleId="DarkTableBody">
    <w:name w:val="Dark Table Body"/>
    <w:basedOn w:val="DefaultParagraphFont"/>
    <w:uiPriority w:val="1"/>
    <w:qFormat/>
    <w:rsid w:val="00206626"/>
    <w:rPr>
      <w:rFonts w:ascii="Arial" w:hAnsi="Arial"/>
      <w:b w:val="0"/>
      <w:bCs w:val="0"/>
      <w:i w:val="0"/>
      <w:iCs w:val="0"/>
      <w:color w:val="000000" w:themeColor="text1"/>
      <w:sz w:val="20"/>
      <w:szCs w:val="20"/>
    </w:rPr>
  </w:style>
  <w:style w:type="paragraph" w:customStyle="1" w:styleId="Disclaimer">
    <w:name w:val="Disclaimer"/>
    <w:basedOn w:val="TableBody"/>
    <w:qFormat/>
    <w:rsid w:val="00206626"/>
    <w:pPr>
      <w:widowControl w:val="0"/>
      <w:ind w:right="357"/>
    </w:pPr>
    <w:rPr>
      <w:i/>
      <w:sz w:val="18"/>
      <w:szCs w:val="18"/>
    </w:rPr>
  </w:style>
  <w:style w:type="paragraph" w:customStyle="1" w:styleId="ZoningHeader">
    <w:name w:val="Zoning Header"/>
    <w:basedOn w:val="TableBody"/>
    <w:qFormat/>
    <w:rsid w:val="00206626"/>
    <w:pPr>
      <w:widowControl w:val="0"/>
      <w:ind w:right="357"/>
    </w:pPr>
    <w:rPr>
      <w:b w:val="0"/>
      <w:bCs/>
      <w:color w:val="0C649D"/>
      <w:sz w:val="52"/>
      <w:szCs w:val="52"/>
    </w:rPr>
  </w:style>
  <w:style w:type="paragraph" w:customStyle="1" w:styleId="ZoningSubHeading">
    <w:name w:val="Zoning Sub Heading"/>
    <w:basedOn w:val="TableBody"/>
    <w:qFormat/>
    <w:rsid w:val="00206626"/>
    <w:pPr>
      <w:widowControl w:val="0"/>
      <w:ind w:right="357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66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26"/>
    <w:rPr>
      <w:rFonts w:asciiTheme="majorHAnsi" w:eastAsiaTheme="majorEastAsia" w:hAnsiTheme="majorHAnsi" w:cstheme="majorBidi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066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26"/>
    <w:rPr>
      <w:rFonts w:asciiTheme="majorHAnsi" w:eastAsiaTheme="majorEastAsia" w:hAnsiTheme="majorHAnsi" w:cstheme="majorBidi"/>
      <w:sz w:val="22"/>
      <w:szCs w:val="22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206626"/>
  </w:style>
  <w:style w:type="paragraph" w:styleId="BalloonText">
    <w:name w:val="Balloon Text"/>
    <w:basedOn w:val="Normal"/>
    <w:link w:val="BalloonTextChar"/>
    <w:uiPriority w:val="99"/>
    <w:semiHidden/>
    <w:unhideWhenUsed/>
    <w:rsid w:val="007108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13"/>
    <w:rPr>
      <w:rFonts w:ascii="Lucida Grande" w:eastAsiaTheme="majorEastAsia" w:hAnsi="Lucida Grande" w:cs="Lucida Grande"/>
      <w:sz w:val="18"/>
      <w:szCs w:val="18"/>
      <w:lang w:eastAsia="en-AU"/>
    </w:rPr>
  </w:style>
  <w:style w:type="paragraph" w:customStyle="1" w:styleId="PropLandInformation">
    <w:name w:val="Prop &amp; Land Information"/>
    <w:basedOn w:val="SectionHeading"/>
    <w:autoRedefine/>
    <w:qFormat/>
    <w:rsid w:val="004D2E92"/>
    <w:pPr>
      <w:tabs>
        <w:tab w:val="left" w:pos="16073"/>
      </w:tabs>
      <w:spacing w:before="240"/>
    </w:pPr>
  </w:style>
  <w:style w:type="table" w:styleId="TableGrid">
    <w:name w:val="Table Grid"/>
    <w:basedOn w:val="TableNormal"/>
    <w:uiPriority w:val="59"/>
    <w:rsid w:val="0063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634A09"/>
    <w:rPr>
      <w:rFonts w:ascii="Arial" w:eastAsia="Times New Roman" w:hAnsi="Arial" w:cs="Times New Roman"/>
      <w:b/>
      <w:szCs w:val="20"/>
    </w:rPr>
  </w:style>
  <w:style w:type="paragraph" w:styleId="BodyTextIndent3">
    <w:name w:val="Body Text Indent 3"/>
    <w:basedOn w:val="Normal"/>
    <w:link w:val="BodyTextIndent3Char"/>
    <w:unhideWhenUsed/>
    <w:rsid w:val="00634A09"/>
    <w:pPr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Arial" w:eastAsia="Times New Roman" w:hAnsi="Arial" w:cs="Times New Roman"/>
      <w:spacing w:val="-2"/>
      <w:sz w:val="24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34A09"/>
    <w:rPr>
      <w:rFonts w:ascii="Arial" w:eastAsia="Times New Roman" w:hAnsi="Arial" w:cs="Times New Roman"/>
      <w:spacing w:val="-2"/>
      <w:szCs w:val="20"/>
    </w:rPr>
  </w:style>
  <w:style w:type="paragraph" w:styleId="ListParagraph">
    <w:name w:val="List Paragraph"/>
    <w:basedOn w:val="Normal"/>
    <w:uiPriority w:val="34"/>
    <w:qFormat/>
    <w:rsid w:val="00DB53F4"/>
    <w:pPr>
      <w:ind w:left="720"/>
      <w:contextualSpacing/>
    </w:pPr>
  </w:style>
  <w:style w:type="paragraph" w:customStyle="1" w:styleId="Default">
    <w:name w:val="Default"/>
    <w:rsid w:val="00DB53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4659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ckburn.wa.gov.au/Building-Planning-and-Roads/Applications-and-Permits/Planning-Online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McGrath</dc:creator>
  <cp:lastModifiedBy>Lorraine Selby</cp:lastModifiedBy>
  <cp:revision>10</cp:revision>
  <cp:lastPrinted>2015-09-30T01:12:00Z</cp:lastPrinted>
  <dcterms:created xsi:type="dcterms:W3CDTF">2016-10-13T01:59:00Z</dcterms:created>
  <dcterms:modified xsi:type="dcterms:W3CDTF">2022-08-05T06:13:00Z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