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A8" w:rsidRDefault="007252A8" w:rsidP="00C455B6">
      <w:pPr>
        <w:pBdr>
          <w:top w:val="double" w:sz="12" w:space="1" w:color="auto"/>
          <w:left w:val="double" w:sz="12" w:space="1" w:color="auto"/>
          <w:right w:val="double" w:sz="12" w:space="1" w:color="auto"/>
        </w:pBdr>
      </w:pPr>
      <w:bookmarkStart w:id="0" w:name="_GoBack"/>
      <w:bookmarkEnd w:id="0"/>
      <w:permStart w:id="1486952788" w:edGrp="everyone"/>
      <w:permEnd w:id="1486952788"/>
    </w:p>
    <w:p w:rsidR="007252A8" w:rsidRDefault="007252A8" w:rsidP="00C455B6">
      <w:pPr>
        <w:pBdr>
          <w:top w:val="double" w:sz="12" w:space="1" w:color="auto"/>
          <w:left w:val="double" w:sz="12" w:space="1" w:color="auto"/>
          <w:right w:val="double" w:sz="12" w:space="1" w:color="auto"/>
        </w:pBdr>
      </w:pPr>
    </w:p>
    <w:p w:rsidR="007252A8" w:rsidRDefault="007252A8" w:rsidP="00C455B6">
      <w:pPr>
        <w:pBdr>
          <w:top w:val="double" w:sz="12" w:space="1" w:color="auto"/>
          <w:left w:val="double" w:sz="12" w:space="1" w:color="auto"/>
          <w:right w:val="double" w:sz="12" w:space="1" w:color="auto"/>
        </w:pBdr>
      </w:pPr>
    </w:p>
    <w:p w:rsidR="007252A8" w:rsidRDefault="007252A8" w:rsidP="00C455B6">
      <w:pPr>
        <w:pBdr>
          <w:left w:val="double" w:sz="12" w:space="1" w:color="auto"/>
          <w:right w:val="double" w:sz="12" w:space="1" w:color="auto"/>
        </w:pBdr>
        <w:jc w:val="center"/>
        <w:rPr>
          <w:b/>
          <w:sz w:val="44"/>
        </w:rPr>
      </w:pPr>
      <w:r>
        <w:rPr>
          <w:b/>
          <w:sz w:val="44"/>
        </w:rPr>
        <w:t xml:space="preserve">CITY OF </w:t>
      </w:r>
      <w:smartTag w:uri="urn:schemas-microsoft-com:office:smarttags" w:element="City">
        <w:smartTag w:uri="urn:schemas-microsoft-com:office:smarttags" w:element="place">
          <w:r>
            <w:rPr>
              <w:b/>
              <w:sz w:val="44"/>
            </w:rPr>
            <w:t>COCKBURN</w:t>
          </w:r>
        </w:smartTag>
      </w:smartTag>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r>
        <w:object w:dxaOrig="238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08pt" o:ole="">
            <v:imagedata r:id="rId8" o:title="" cropbottom="-3414f" cropright="-3121f"/>
          </v:shape>
          <o:OLEObject Type="Embed" ProgID="MS_ClipArt_Gallery.2" ShapeID="_x0000_i1025" DrawAspect="Content" ObjectID="_1528546297" r:id="rId9"/>
        </w:object>
      </w: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rPr>
          <w:b/>
          <w:sz w:val="40"/>
        </w:rPr>
      </w:pPr>
      <w:bookmarkStart w:id="1" w:name="Meetingbody_upper"/>
      <w:bookmarkEnd w:id="1"/>
      <w:r>
        <w:rPr>
          <w:b/>
          <w:sz w:val="40"/>
        </w:rPr>
        <w:t>SPECIAL COUNCIL MEETING</w:t>
      </w: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rPr>
          <w:b/>
          <w:sz w:val="48"/>
        </w:rPr>
      </w:pPr>
      <w:r>
        <w:rPr>
          <w:b/>
          <w:sz w:val="48"/>
        </w:rPr>
        <w:t>MINUTES</w:t>
      </w: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rPr>
          <w:b/>
          <w:sz w:val="40"/>
        </w:rPr>
      </w:pPr>
      <w:r>
        <w:rPr>
          <w:b/>
          <w:sz w:val="40"/>
        </w:rPr>
        <w:t>FOR</w:t>
      </w:r>
    </w:p>
    <w:p w:rsidR="007252A8" w:rsidRDefault="007252A8" w:rsidP="00C455B6">
      <w:pPr>
        <w:pBdr>
          <w:left w:val="double" w:sz="12" w:space="1" w:color="auto"/>
          <w:right w:val="double" w:sz="12" w:space="1" w:color="auto"/>
        </w:pBdr>
        <w:jc w:val="center"/>
        <w:rPr>
          <w:b/>
          <w:sz w:val="40"/>
        </w:rPr>
      </w:pPr>
    </w:p>
    <w:p w:rsidR="007252A8" w:rsidRDefault="007252A8" w:rsidP="00C455B6">
      <w:pPr>
        <w:pBdr>
          <w:left w:val="double" w:sz="12" w:space="1" w:color="auto"/>
          <w:right w:val="double" w:sz="12" w:space="1" w:color="auto"/>
        </w:pBdr>
        <w:jc w:val="center"/>
        <w:rPr>
          <w:b/>
          <w:sz w:val="40"/>
        </w:rPr>
      </w:pPr>
      <w:bookmarkStart w:id="2" w:name="Meetingdateday_upper"/>
      <w:bookmarkEnd w:id="2"/>
      <w:r>
        <w:rPr>
          <w:b/>
          <w:sz w:val="40"/>
        </w:rPr>
        <w:t xml:space="preserve">THURSDAY, </w:t>
      </w:r>
      <w:bookmarkStart w:id="3" w:name="Meetingdate"/>
      <w:bookmarkEnd w:id="3"/>
      <w:r>
        <w:rPr>
          <w:b/>
          <w:sz w:val="40"/>
        </w:rPr>
        <w:t>23 JUNE 2016</w:t>
      </w: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7252A8" w:rsidP="00C455B6">
      <w:pPr>
        <w:pBdr>
          <w:left w:val="double" w:sz="12" w:space="1" w:color="auto"/>
          <w:right w:val="double" w:sz="12" w:space="1" w:color="auto"/>
        </w:pBdr>
        <w:jc w:val="center"/>
      </w:pPr>
    </w:p>
    <w:p w:rsidR="007252A8" w:rsidRDefault="00101864" w:rsidP="00C455B6">
      <w:pPr>
        <w:pBdr>
          <w:left w:val="double" w:sz="12" w:space="1" w:color="auto"/>
          <w:bottom w:val="double" w:sz="12" w:space="1" w:color="auto"/>
          <w:right w:val="double" w:sz="12" w:space="1" w:color="auto"/>
        </w:pBdr>
        <w:jc w:val="center"/>
      </w:pPr>
      <w:r>
        <w:pict>
          <v:shapetype id="_x0000_t202" coordsize="21600,21600" o:spt="202" path="m,l,21600r21600,l21600,xe">
            <v:stroke joinstyle="miter"/>
            <v:path gradientshapeok="t" o:connecttype="rect"/>
          </v:shapetype>
          <v:shape id="_x0000_s1027" type="#_x0000_t202" style="position:absolute;left:0;text-align:left;margin-left:96.7pt;margin-top:12.5pt;width:266.3pt;height:125.25pt;z-index:251660288" strokeweight="3pt">
            <v:stroke linestyle="thinThin"/>
            <v:textbox>
              <w:txbxContent>
                <w:p w:rsidR="00C455B6" w:rsidRDefault="00C455B6" w:rsidP="00C455B6">
                  <w:pPr>
                    <w:jc w:val="center"/>
                  </w:pPr>
                  <w:r>
                    <w:t>These Minutes are subject to Confirmation</w:t>
                  </w:r>
                </w:p>
                <w:p w:rsidR="00C455B6" w:rsidRDefault="00C455B6" w:rsidP="00C455B6">
                  <w:pPr>
                    <w:jc w:val="center"/>
                  </w:pPr>
                </w:p>
                <w:p w:rsidR="00C455B6" w:rsidRDefault="00C455B6" w:rsidP="00C455B6">
                  <w:pPr>
                    <w:jc w:val="center"/>
                  </w:pPr>
                  <w:r>
                    <w:t>Presiding Member’s Signature</w:t>
                  </w:r>
                </w:p>
                <w:p w:rsidR="00C455B6" w:rsidRDefault="00C455B6" w:rsidP="00C455B6">
                  <w:pPr>
                    <w:jc w:val="center"/>
                  </w:pPr>
                </w:p>
                <w:p w:rsidR="00C455B6" w:rsidRDefault="00C455B6" w:rsidP="00C455B6">
                  <w:pPr>
                    <w:jc w:val="center"/>
                  </w:pPr>
                </w:p>
                <w:p w:rsidR="00C455B6" w:rsidRDefault="00C455B6" w:rsidP="00C455B6">
                  <w:pPr>
                    <w:jc w:val="center"/>
                  </w:pPr>
                  <w:r>
                    <w:t>_____________________________</w:t>
                  </w:r>
                </w:p>
                <w:p w:rsidR="00C455B6" w:rsidRDefault="00C455B6" w:rsidP="00C455B6">
                  <w:pPr>
                    <w:jc w:val="center"/>
                  </w:pPr>
                </w:p>
                <w:p w:rsidR="00C455B6" w:rsidRDefault="00C455B6" w:rsidP="00C455B6">
                  <w:pPr>
                    <w:jc w:val="center"/>
                  </w:pPr>
                  <w:r>
                    <w:t>Date: _________________</w:t>
                  </w:r>
                </w:p>
              </w:txbxContent>
            </v:textbox>
          </v:shape>
        </w:pict>
      </w: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pBdr>
          <w:left w:val="double" w:sz="12" w:space="1" w:color="auto"/>
          <w:bottom w:val="double" w:sz="12" w:space="1" w:color="auto"/>
          <w:right w:val="double" w:sz="12" w:space="1" w:color="auto"/>
        </w:pBdr>
        <w:jc w:val="center"/>
      </w:pPr>
    </w:p>
    <w:p w:rsidR="007252A8" w:rsidRDefault="007252A8" w:rsidP="00C455B6">
      <w:pPr>
        <w:jc w:val="left"/>
        <w:rPr>
          <w:b/>
          <w:sz w:val="32"/>
        </w:rPr>
      </w:pPr>
    </w:p>
    <w:p w:rsidR="007252A8" w:rsidRDefault="007252A8" w:rsidP="00C455B6">
      <w:pPr>
        <w:jc w:val="left"/>
        <w:rPr>
          <w:b/>
          <w:sz w:val="32"/>
        </w:rPr>
        <w:sectPr w:rsidR="007252A8" w:rsidSect="00C455B6">
          <w:pgSz w:w="11907" w:h="16839"/>
          <w:pgMar w:top="1440" w:right="1440" w:bottom="1440" w:left="1440" w:header="720" w:footer="720" w:gutter="0"/>
          <w:cols w:space="720"/>
          <w:docGrid w:linePitch="326"/>
        </w:sectPr>
      </w:pPr>
    </w:p>
    <w:p w:rsidR="007252A8" w:rsidRDefault="007252A8">
      <w:pPr>
        <w:jc w:val="center"/>
        <w:rPr>
          <w:b/>
          <w:sz w:val="32"/>
        </w:rPr>
      </w:pPr>
      <w:r>
        <w:rPr>
          <w:b/>
          <w:sz w:val="32"/>
        </w:rPr>
        <w:lastRenderedPageBreak/>
        <w:t>CITY OF COCKBURN</w:t>
      </w:r>
    </w:p>
    <w:p w:rsidR="007252A8" w:rsidRDefault="007252A8"/>
    <w:p w:rsidR="007252A8" w:rsidRDefault="007252A8">
      <w:r>
        <w:rPr>
          <w:b/>
          <w:sz w:val="26"/>
        </w:rPr>
        <w:t xml:space="preserve">SUMMARY OF MINUTES OF </w:t>
      </w:r>
      <w:bookmarkStart w:id="4" w:name="Meetingbody"/>
      <w:bookmarkEnd w:id="4"/>
      <w:r>
        <w:rPr>
          <w:b/>
          <w:sz w:val="26"/>
        </w:rPr>
        <w:t xml:space="preserve">SPECIAL COUNCIL MEETING HELD ON </w:t>
      </w:r>
      <w:bookmarkStart w:id="5" w:name="Meetingdateday_2"/>
      <w:bookmarkEnd w:id="5"/>
      <w:r>
        <w:rPr>
          <w:b/>
          <w:sz w:val="26"/>
        </w:rPr>
        <w:t xml:space="preserve">THURSDAY, </w:t>
      </w:r>
      <w:bookmarkStart w:id="6" w:name="Meetingdate_2"/>
      <w:bookmarkEnd w:id="6"/>
      <w:r>
        <w:rPr>
          <w:b/>
          <w:sz w:val="26"/>
        </w:rPr>
        <w:t xml:space="preserve">23 JUNE 2016 AT </w:t>
      </w:r>
      <w:bookmarkStart w:id="7" w:name="Meetingtime"/>
      <w:bookmarkEnd w:id="7"/>
      <w:r>
        <w:rPr>
          <w:b/>
          <w:sz w:val="26"/>
        </w:rPr>
        <w:t xml:space="preserve">6:00 </w:t>
      </w:r>
      <w:bookmarkStart w:id="8" w:name="AMPMcaps"/>
      <w:bookmarkEnd w:id="8"/>
      <w:r>
        <w:rPr>
          <w:b/>
          <w:sz w:val="26"/>
        </w:rPr>
        <w:t>PM</w:t>
      </w:r>
    </w:p>
    <w:p w:rsidR="007252A8" w:rsidRDefault="007252A8">
      <w:pPr>
        <w:tabs>
          <w:tab w:val="left" w:pos="1440"/>
          <w:tab w:val="left" w:pos="2160"/>
        </w:tabs>
        <w:ind w:left="1440" w:hanging="1440"/>
        <w:rPr>
          <w:sz w:val="28"/>
        </w:rPr>
      </w:pPr>
    </w:p>
    <w:p w:rsidR="007252A8" w:rsidRDefault="007252A8">
      <w:pPr>
        <w:pBdr>
          <w:top w:val="double" w:sz="12" w:space="1" w:color="auto"/>
        </w:pBdr>
        <w:tabs>
          <w:tab w:val="left" w:pos="8931"/>
        </w:tabs>
        <w:rPr>
          <w:sz w:val="28"/>
        </w:rPr>
      </w:pPr>
    </w:p>
    <w:p w:rsidR="007252A8" w:rsidRDefault="007252A8">
      <w:pPr>
        <w:jc w:val="right"/>
        <w:rPr>
          <w:b/>
        </w:rPr>
      </w:pPr>
      <w:r>
        <w:rPr>
          <w:b/>
        </w:rPr>
        <w:t>Page</w:t>
      </w:r>
    </w:p>
    <w:p w:rsidR="007252A8" w:rsidRDefault="007252A8">
      <w:pPr>
        <w:tabs>
          <w:tab w:val="left" w:pos="1440"/>
          <w:tab w:val="left" w:pos="2160"/>
          <w:tab w:val="right" w:pos="9180"/>
        </w:tabs>
        <w:ind w:left="1440" w:hanging="1440"/>
      </w:pPr>
    </w:p>
    <w:p w:rsidR="007252A8" w:rsidRDefault="007252A8"/>
    <w:p w:rsidR="00764CB2" w:rsidRDefault="007252A8">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sidR="00764CB2">
        <w:rPr>
          <w:noProof/>
        </w:rPr>
        <w:t>1.</w:t>
      </w:r>
      <w:r w:rsidR="00764CB2">
        <w:rPr>
          <w:rFonts w:asciiTheme="minorHAnsi" w:eastAsiaTheme="minorEastAsia" w:hAnsiTheme="minorHAnsi" w:cstheme="minorBidi"/>
          <w:caps w:val="0"/>
          <w:noProof/>
          <w:szCs w:val="22"/>
          <w:lang w:eastAsia="en-AU"/>
        </w:rPr>
        <w:tab/>
      </w:r>
      <w:r w:rsidR="00764CB2">
        <w:rPr>
          <w:noProof/>
        </w:rPr>
        <w:t>DECLARATION OF MEETING</w:t>
      </w:r>
      <w:r w:rsidR="00764CB2">
        <w:rPr>
          <w:noProof/>
        </w:rPr>
        <w:tab/>
      </w:r>
      <w:r w:rsidR="00764CB2">
        <w:rPr>
          <w:noProof/>
        </w:rPr>
        <w:fldChar w:fldCharType="begin"/>
      </w:r>
      <w:r w:rsidR="00764CB2">
        <w:rPr>
          <w:noProof/>
        </w:rPr>
        <w:instrText xml:space="preserve"> PAGEREF _Toc454780254 \h </w:instrText>
      </w:r>
      <w:r w:rsidR="00764CB2">
        <w:rPr>
          <w:noProof/>
        </w:rPr>
      </w:r>
      <w:r w:rsidR="00764CB2">
        <w:rPr>
          <w:noProof/>
        </w:rPr>
        <w:fldChar w:fldCharType="separate"/>
      </w:r>
      <w:r w:rsidR="000D3B8F">
        <w:rPr>
          <w:noProof/>
        </w:rPr>
        <w:t>1</w:t>
      </w:r>
      <w:r w:rsidR="00764CB2">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_Toc454780255 \h </w:instrText>
      </w:r>
      <w:r>
        <w:rPr>
          <w:noProof/>
        </w:rPr>
      </w:r>
      <w:r>
        <w:rPr>
          <w:noProof/>
        </w:rPr>
        <w:fldChar w:fldCharType="separate"/>
      </w:r>
      <w:r w:rsidR="000D3B8F">
        <w:rPr>
          <w:noProof/>
        </w:rPr>
        <w:t>1</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(Read aloud by Presiding Member)</w:t>
      </w:r>
      <w:r>
        <w:rPr>
          <w:noProof/>
        </w:rPr>
        <w:tab/>
      </w:r>
      <w:r>
        <w:rPr>
          <w:noProof/>
        </w:rPr>
        <w:fldChar w:fldCharType="begin"/>
      </w:r>
      <w:r>
        <w:rPr>
          <w:noProof/>
        </w:rPr>
        <w:instrText xml:space="preserve"> PAGEREF _Toc454780256 \h </w:instrText>
      </w:r>
      <w:r>
        <w:rPr>
          <w:noProof/>
        </w:rPr>
      </w:r>
      <w:r>
        <w:rPr>
          <w:noProof/>
        </w:rPr>
        <w:fldChar w:fldCharType="separate"/>
      </w:r>
      <w:r w:rsidR="000D3B8F">
        <w:rPr>
          <w:noProof/>
        </w:rPr>
        <w:t>2</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ACKNOWLEDGEMENT OF RECEIPT OF WRITTEN DECLARATIONS OF FINANCIAL INTERESTS AND CONFLICT OF INTEREST (by Presiding Member)</w:t>
      </w:r>
      <w:r>
        <w:rPr>
          <w:noProof/>
        </w:rPr>
        <w:tab/>
      </w:r>
      <w:r>
        <w:rPr>
          <w:noProof/>
        </w:rPr>
        <w:fldChar w:fldCharType="begin"/>
      </w:r>
      <w:r>
        <w:rPr>
          <w:noProof/>
        </w:rPr>
        <w:instrText xml:space="preserve"> PAGEREF _Toc454780257 \h </w:instrText>
      </w:r>
      <w:r>
        <w:rPr>
          <w:noProof/>
        </w:rPr>
      </w:r>
      <w:r>
        <w:rPr>
          <w:noProof/>
        </w:rPr>
        <w:fldChar w:fldCharType="separate"/>
      </w:r>
      <w:r w:rsidR="000D3B8F">
        <w:rPr>
          <w:noProof/>
        </w:rPr>
        <w:t>2</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(SCM 23/06/2016) - APOLOGIES &amp; LEAVE OF ABSENCE</w:t>
      </w:r>
      <w:r>
        <w:rPr>
          <w:noProof/>
        </w:rPr>
        <w:tab/>
      </w:r>
      <w:r>
        <w:rPr>
          <w:noProof/>
        </w:rPr>
        <w:fldChar w:fldCharType="begin"/>
      </w:r>
      <w:r>
        <w:rPr>
          <w:noProof/>
        </w:rPr>
        <w:instrText xml:space="preserve"> PAGEREF _Toc454780258 \h </w:instrText>
      </w:r>
      <w:r>
        <w:rPr>
          <w:noProof/>
        </w:rPr>
      </w:r>
      <w:r>
        <w:rPr>
          <w:noProof/>
        </w:rPr>
        <w:fldChar w:fldCharType="separate"/>
      </w:r>
      <w:r w:rsidR="000D3B8F">
        <w:rPr>
          <w:noProof/>
        </w:rPr>
        <w:t>2</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(SCM 23/06/2016) - PUBLIC QUESTION TIME</w:t>
      </w:r>
      <w:r>
        <w:rPr>
          <w:noProof/>
        </w:rPr>
        <w:tab/>
      </w:r>
      <w:r>
        <w:rPr>
          <w:noProof/>
        </w:rPr>
        <w:fldChar w:fldCharType="begin"/>
      </w:r>
      <w:r>
        <w:rPr>
          <w:noProof/>
        </w:rPr>
        <w:instrText xml:space="preserve"> PAGEREF _Toc454780259 \h </w:instrText>
      </w:r>
      <w:r>
        <w:rPr>
          <w:noProof/>
        </w:rPr>
      </w:r>
      <w:r>
        <w:rPr>
          <w:noProof/>
        </w:rPr>
        <w:fldChar w:fldCharType="separate"/>
      </w:r>
      <w:r w:rsidR="000D3B8F">
        <w:rPr>
          <w:noProof/>
        </w:rPr>
        <w:t>2</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Pr>
          <w:noProof/>
        </w:rPr>
        <w:t>DECLARATION BY COUNCILLORS WHO HAVE NOT GIVEN DUE CONSIDERATION TO MATTERS CONTAINED IN THE BUSINESS</w:t>
      </w:r>
      <w:r>
        <w:rPr>
          <w:noProof/>
        </w:rPr>
        <w:tab/>
      </w:r>
      <w:r>
        <w:rPr>
          <w:noProof/>
        </w:rPr>
        <w:fldChar w:fldCharType="begin"/>
      </w:r>
      <w:r>
        <w:rPr>
          <w:noProof/>
        </w:rPr>
        <w:instrText xml:space="preserve"> PAGEREF _Toc454780260 \h </w:instrText>
      </w:r>
      <w:r>
        <w:rPr>
          <w:noProof/>
        </w:rPr>
      </w:r>
      <w:r>
        <w:rPr>
          <w:noProof/>
        </w:rPr>
        <w:fldChar w:fldCharType="separate"/>
      </w:r>
      <w:r w:rsidR="000D3B8F">
        <w:rPr>
          <w:noProof/>
        </w:rPr>
        <w:t>2</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(SCM 23/06/2016) - PURPOSE OF MEETING</w:t>
      </w:r>
      <w:r>
        <w:rPr>
          <w:noProof/>
        </w:rPr>
        <w:tab/>
      </w:r>
      <w:r>
        <w:rPr>
          <w:noProof/>
        </w:rPr>
        <w:fldChar w:fldCharType="begin"/>
      </w:r>
      <w:r>
        <w:rPr>
          <w:noProof/>
        </w:rPr>
        <w:instrText xml:space="preserve"> PAGEREF _Toc454780261 \h </w:instrText>
      </w:r>
      <w:r>
        <w:rPr>
          <w:noProof/>
        </w:rPr>
      </w:r>
      <w:r>
        <w:rPr>
          <w:noProof/>
        </w:rPr>
        <w:fldChar w:fldCharType="separate"/>
      </w:r>
      <w:r w:rsidR="000D3B8F">
        <w:rPr>
          <w:noProof/>
        </w:rPr>
        <w:t>3</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_Toc454780262 \h </w:instrText>
      </w:r>
      <w:r>
        <w:rPr>
          <w:noProof/>
        </w:rPr>
      </w:r>
      <w:r>
        <w:rPr>
          <w:noProof/>
        </w:rPr>
        <w:fldChar w:fldCharType="separate"/>
      </w:r>
      <w:r w:rsidR="000D3B8F">
        <w:rPr>
          <w:noProof/>
        </w:rPr>
        <w:t>3</w:t>
      </w:r>
      <w:r>
        <w:rPr>
          <w:noProof/>
        </w:rPr>
        <w:fldChar w:fldCharType="end"/>
      </w:r>
    </w:p>
    <w:p w:rsidR="00764CB2" w:rsidRDefault="00764CB2">
      <w:pPr>
        <w:pStyle w:val="TOC2"/>
        <w:tabs>
          <w:tab w:val="left" w:pos="1360"/>
        </w:tabs>
        <w:rPr>
          <w:rFonts w:asciiTheme="minorHAnsi" w:eastAsiaTheme="minorEastAsia" w:hAnsiTheme="minorHAnsi" w:cstheme="minorBidi"/>
          <w:caps w:val="0"/>
          <w:szCs w:val="22"/>
          <w:lang w:eastAsia="en-AU"/>
        </w:rPr>
      </w:pPr>
      <w:r>
        <w:t>9.1</w:t>
      </w:r>
      <w:r>
        <w:rPr>
          <w:rFonts w:asciiTheme="minorHAnsi" w:eastAsiaTheme="minorEastAsia" w:hAnsiTheme="minorHAnsi" w:cstheme="minorBidi"/>
          <w:caps w:val="0"/>
          <w:szCs w:val="22"/>
          <w:lang w:eastAsia="en-AU"/>
        </w:rPr>
        <w:tab/>
      </w:r>
      <w:r w:rsidRPr="005A3C95">
        <w:rPr>
          <w:u w:val="single"/>
        </w:rPr>
        <w:t>(MINUTE NO 5825)</w:t>
      </w:r>
      <w:r>
        <w:t xml:space="preserve"> (SCM 23/06/2016) - ANNUAL BUSINESS PLAN 2016/170  (021/002)  (M TOBIN)  (ATTACH)</w:t>
      </w:r>
      <w:r>
        <w:tab/>
      </w:r>
      <w:r>
        <w:fldChar w:fldCharType="begin"/>
      </w:r>
      <w:r>
        <w:instrText xml:space="preserve"> PAGEREF _Toc454780263 \h </w:instrText>
      </w:r>
      <w:r>
        <w:fldChar w:fldCharType="separate"/>
      </w:r>
      <w:r w:rsidR="000D3B8F">
        <w:t>3</w:t>
      </w:r>
      <w:r>
        <w:fldChar w:fldCharType="end"/>
      </w:r>
    </w:p>
    <w:p w:rsidR="00764CB2" w:rsidRDefault="00764CB2">
      <w:pPr>
        <w:pStyle w:val="TOC2"/>
        <w:tabs>
          <w:tab w:val="left" w:pos="1360"/>
        </w:tabs>
        <w:rPr>
          <w:rFonts w:asciiTheme="minorHAnsi" w:eastAsiaTheme="minorEastAsia" w:hAnsiTheme="minorHAnsi" w:cstheme="minorBidi"/>
          <w:caps w:val="0"/>
          <w:szCs w:val="22"/>
          <w:lang w:eastAsia="en-AU"/>
        </w:rPr>
      </w:pPr>
      <w:r>
        <w:t>9.2</w:t>
      </w:r>
      <w:r>
        <w:rPr>
          <w:rFonts w:asciiTheme="minorHAnsi" w:eastAsiaTheme="minorEastAsia" w:hAnsiTheme="minorHAnsi" w:cstheme="minorBidi"/>
          <w:caps w:val="0"/>
          <w:szCs w:val="22"/>
          <w:lang w:eastAsia="en-AU"/>
        </w:rPr>
        <w:tab/>
      </w:r>
      <w:r w:rsidRPr="005A3C95">
        <w:rPr>
          <w:u w:val="single"/>
        </w:rPr>
        <w:t>(MINUTE NO 5826)</w:t>
      </w:r>
      <w:r>
        <w:t xml:space="preserve"> (SCM 23/06/2016) - ADOPTION OF 2016/17 DIFFERENTIAL RATES, 2016/17 MUNICIPAL BUDGET AND 2016/17 SCHEDULE OF FEES AND CHARGES  (071/006; 075/011; 097/009)  (S DOWNING/N MAURICIO)  (ATTACH)</w:t>
      </w:r>
      <w:r>
        <w:tab/>
      </w:r>
      <w:r>
        <w:fldChar w:fldCharType="begin"/>
      </w:r>
      <w:r>
        <w:instrText xml:space="preserve"> PAGEREF _Toc454780264 \h </w:instrText>
      </w:r>
      <w:r>
        <w:fldChar w:fldCharType="separate"/>
      </w:r>
      <w:r w:rsidR="000D3B8F">
        <w:t>5</w:t>
      </w:r>
      <w:r>
        <w:fldChar w:fldCharType="end"/>
      </w:r>
    </w:p>
    <w:p w:rsidR="00764CB2" w:rsidRDefault="00764CB2">
      <w:pPr>
        <w:pStyle w:val="TOC3"/>
        <w:rPr>
          <w:rFonts w:asciiTheme="minorHAnsi" w:eastAsiaTheme="minorEastAsia" w:hAnsiTheme="minorHAnsi" w:cstheme="minorBidi"/>
          <w:caps w:val="0"/>
          <w:noProof/>
          <w:szCs w:val="22"/>
          <w:lang w:eastAsia="en-AU"/>
        </w:rPr>
      </w:pPr>
      <w:r w:rsidRPr="005A3C95">
        <w:rPr>
          <w:noProof/>
          <w:u w:val="single"/>
        </w:rPr>
        <w:t>(MINUTE NO 5827)</w:t>
      </w:r>
      <w:r>
        <w:rPr>
          <w:noProof/>
        </w:rPr>
        <w:t xml:space="preserve"> (</w:t>
      </w:r>
      <w:r w:rsidRPr="005A3C95">
        <w:rPr>
          <w:caps w:val="0"/>
          <w:noProof/>
        </w:rPr>
        <w:t>SCM 23/06/2016</w:t>
      </w:r>
      <w:r>
        <w:rPr>
          <w:noProof/>
        </w:rPr>
        <w:t>) - SUSPENSION OF STANDING ORDERS</w:t>
      </w:r>
      <w:r>
        <w:rPr>
          <w:noProof/>
        </w:rPr>
        <w:tab/>
      </w:r>
      <w:r>
        <w:rPr>
          <w:noProof/>
        </w:rPr>
        <w:fldChar w:fldCharType="begin"/>
      </w:r>
      <w:r>
        <w:rPr>
          <w:noProof/>
        </w:rPr>
        <w:instrText xml:space="preserve"> PAGEREF _Toc454780265 \h </w:instrText>
      </w:r>
      <w:r>
        <w:rPr>
          <w:noProof/>
        </w:rPr>
      </w:r>
      <w:r>
        <w:rPr>
          <w:noProof/>
        </w:rPr>
        <w:fldChar w:fldCharType="separate"/>
      </w:r>
      <w:r w:rsidR="000D3B8F">
        <w:rPr>
          <w:noProof/>
        </w:rPr>
        <w:t>31</w:t>
      </w:r>
      <w:r>
        <w:rPr>
          <w:noProof/>
        </w:rPr>
        <w:fldChar w:fldCharType="end"/>
      </w:r>
    </w:p>
    <w:p w:rsidR="00764CB2" w:rsidRDefault="00764CB2">
      <w:pPr>
        <w:pStyle w:val="TOC3"/>
        <w:rPr>
          <w:rFonts w:asciiTheme="minorHAnsi" w:eastAsiaTheme="minorEastAsia" w:hAnsiTheme="minorHAnsi" w:cstheme="minorBidi"/>
          <w:caps w:val="0"/>
          <w:noProof/>
          <w:szCs w:val="22"/>
          <w:lang w:eastAsia="en-AU"/>
        </w:rPr>
      </w:pPr>
      <w:r w:rsidRPr="005A3C95">
        <w:rPr>
          <w:noProof/>
          <w:u w:val="single"/>
        </w:rPr>
        <w:t>(MINUTE NO 5828)</w:t>
      </w:r>
      <w:r>
        <w:rPr>
          <w:noProof/>
        </w:rPr>
        <w:t xml:space="preserve"> (</w:t>
      </w:r>
      <w:r w:rsidRPr="005A3C95">
        <w:rPr>
          <w:caps w:val="0"/>
          <w:noProof/>
        </w:rPr>
        <w:t>SCM 23/06/2016</w:t>
      </w:r>
      <w:r>
        <w:rPr>
          <w:noProof/>
        </w:rPr>
        <w:t>) - RESUMPTION OF STANDING ORDERS</w:t>
      </w:r>
      <w:r>
        <w:rPr>
          <w:noProof/>
        </w:rPr>
        <w:tab/>
      </w:r>
      <w:r>
        <w:rPr>
          <w:noProof/>
        </w:rPr>
        <w:fldChar w:fldCharType="begin"/>
      </w:r>
      <w:r>
        <w:rPr>
          <w:noProof/>
        </w:rPr>
        <w:instrText xml:space="preserve"> PAGEREF _Toc454780266 \h </w:instrText>
      </w:r>
      <w:r>
        <w:rPr>
          <w:noProof/>
        </w:rPr>
      </w:r>
      <w:r>
        <w:rPr>
          <w:noProof/>
        </w:rPr>
        <w:fldChar w:fldCharType="separate"/>
      </w:r>
      <w:r w:rsidR="000D3B8F">
        <w:rPr>
          <w:noProof/>
        </w:rPr>
        <w:t>32</w:t>
      </w:r>
      <w:r>
        <w:rPr>
          <w:noProof/>
        </w:rPr>
        <w:fldChar w:fldCharType="end"/>
      </w:r>
    </w:p>
    <w:p w:rsidR="00764CB2" w:rsidRDefault="00764CB2">
      <w:pPr>
        <w:pStyle w:val="TOC3"/>
        <w:rPr>
          <w:rFonts w:asciiTheme="minorHAnsi" w:eastAsiaTheme="minorEastAsia" w:hAnsiTheme="minorHAnsi" w:cstheme="minorBidi"/>
          <w:caps w:val="0"/>
          <w:noProof/>
          <w:szCs w:val="22"/>
          <w:lang w:eastAsia="en-AU"/>
        </w:rPr>
      </w:pPr>
      <w:r w:rsidRPr="005A3C95">
        <w:rPr>
          <w:noProof/>
          <w:u w:val="single"/>
        </w:rPr>
        <w:t>(MINUTE NO 5829)</w:t>
      </w:r>
      <w:r>
        <w:rPr>
          <w:noProof/>
        </w:rPr>
        <w:t xml:space="preserve"> (</w:t>
      </w:r>
      <w:r w:rsidRPr="005A3C95">
        <w:rPr>
          <w:caps w:val="0"/>
          <w:noProof/>
        </w:rPr>
        <w:t>SCM 23/06/2016</w:t>
      </w:r>
      <w:r>
        <w:rPr>
          <w:noProof/>
        </w:rPr>
        <w:t>) - ADOPTION OF 2016/17 DIFFERENTIAL RATES, 2016/17 MUNICIPAL BUDGET AND 2016/17 SCHEDULE OF FEES AND CHARGES  (071/006; 075/011; 097/009)  (S DOWNING/N MAURICIO)  (ATTACH)</w:t>
      </w:r>
      <w:r>
        <w:rPr>
          <w:noProof/>
        </w:rPr>
        <w:tab/>
      </w:r>
      <w:r>
        <w:rPr>
          <w:noProof/>
        </w:rPr>
        <w:fldChar w:fldCharType="begin"/>
      </w:r>
      <w:r>
        <w:rPr>
          <w:noProof/>
        </w:rPr>
        <w:instrText xml:space="preserve"> PAGEREF _Toc454780267 \h </w:instrText>
      </w:r>
      <w:r>
        <w:rPr>
          <w:noProof/>
        </w:rPr>
      </w:r>
      <w:r>
        <w:rPr>
          <w:noProof/>
        </w:rPr>
        <w:fldChar w:fldCharType="separate"/>
      </w:r>
      <w:r w:rsidR="000D3B8F">
        <w:rPr>
          <w:noProof/>
        </w:rPr>
        <w:t>32</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sidRPr="005A3C95">
        <w:rPr>
          <w:noProof/>
          <w:u w:val="single"/>
        </w:rPr>
        <w:t>(MINUTE NO 5830)</w:t>
      </w:r>
      <w:r>
        <w:rPr>
          <w:noProof/>
        </w:rPr>
        <w:t xml:space="preserve"> (SCM 23/06/2016) - RESOLUTION OF COMPLIANCE (SECTION 3.18(3), LOCAL GOVERNMENT ACT 1995)</w:t>
      </w:r>
      <w:r>
        <w:rPr>
          <w:noProof/>
        </w:rPr>
        <w:tab/>
      </w:r>
      <w:r>
        <w:rPr>
          <w:noProof/>
        </w:rPr>
        <w:fldChar w:fldCharType="begin"/>
      </w:r>
      <w:r>
        <w:rPr>
          <w:noProof/>
        </w:rPr>
        <w:instrText xml:space="preserve"> PAGEREF _Toc454780268 \h </w:instrText>
      </w:r>
      <w:r>
        <w:rPr>
          <w:noProof/>
        </w:rPr>
      </w:r>
      <w:r>
        <w:rPr>
          <w:noProof/>
        </w:rPr>
        <w:fldChar w:fldCharType="separate"/>
      </w:r>
      <w:r w:rsidR="000D3B8F">
        <w:rPr>
          <w:noProof/>
        </w:rPr>
        <w:t>33</w:t>
      </w:r>
      <w:r>
        <w:rPr>
          <w:noProof/>
        </w:rPr>
        <w:fldChar w:fldCharType="end"/>
      </w:r>
    </w:p>
    <w:p w:rsidR="00764CB2" w:rsidRDefault="00764CB2">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(SCM 23/06/2016) - CLOSURE OF MEETING</w:t>
      </w:r>
      <w:r>
        <w:rPr>
          <w:noProof/>
        </w:rPr>
        <w:tab/>
      </w:r>
      <w:r>
        <w:rPr>
          <w:noProof/>
        </w:rPr>
        <w:fldChar w:fldCharType="begin"/>
      </w:r>
      <w:r>
        <w:rPr>
          <w:noProof/>
        </w:rPr>
        <w:instrText xml:space="preserve"> PAGEREF _Toc454780269 \h </w:instrText>
      </w:r>
      <w:r>
        <w:rPr>
          <w:noProof/>
        </w:rPr>
      </w:r>
      <w:r>
        <w:rPr>
          <w:noProof/>
        </w:rPr>
        <w:fldChar w:fldCharType="separate"/>
      </w:r>
      <w:r w:rsidR="000D3B8F">
        <w:rPr>
          <w:noProof/>
        </w:rPr>
        <w:t>33</w:t>
      </w:r>
      <w:r>
        <w:rPr>
          <w:noProof/>
        </w:rPr>
        <w:fldChar w:fldCharType="end"/>
      </w:r>
    </w:p>
    <w:p w:rsidR="007252A8" w:rsidRDefault="007252A8">
      <w:r>
        <w:fldChar w:fldCharType="end"/>
      </w:r>
    </w:p>
    <w:p w:rsidR="007252A8" w:rsidRDefault="007252A8"/>
    <w:p w:rsidR="007252A8" w:rsidRDefault="007252A8">
      <w:pPr>
        <w:sectPr w:rsidR="007252A8" w:rsidSect="007252A8">
          <w:pgSz w:w="11907" w:h="16840" w:code="9"/>
          <w:pgMar w:top="1440" w:right="1440" w:bottom="1440" w:left="1440" w:header="720" w:footer="720" w:gutter="0"/>
          <w:pgNumType w:start="1"/>
          <w:cols w:space="720"/>
        </w:sectPr>
      </w:pPr>
    </w:p>
    <w:p w:rsidR="007252A8" w:rsidRDefault="007252A8">
      <w:pPr>
        <w:jc w:val="center"/>
        <w:rPr>
          <w:b/>
          <w:sz w:val="32"/>
        </w:rPr>
      </w:pPr>
      <w:r>
        <w:rPr>
          <w:b/>
          <w:sz w:val="32"/>
        </w:rPr>
        <w:lastRenderedPageBreak/>
        <w:t>CITY OF COCKBURN</w:t>
      </w:r>
    </w:p>
    <w:p w:rsidR="007252A8" w:rsidRDefault="007252A8"/>
    <w:p w:rsidR="007252A8" w:rsidRPr="00C455B6" w:rsidRDefault="007252A8" w:rsidP="00C455B6">
      <w:r>
        <w:rPr>
          <w:b/>
          <w:sz w:val="26"/>
        </w:rPr>
        <w:t xml:space="preserve">MINUTES OF SPECIAL COUNCIL MEETING HELD ON </w:t>
      </w:r>
      <w:bookmarkStart w:id="9" w:name="Meetingdateday"/>
      <w:bookmarkEnd w:id="9"/>
      <w:r>
        <w:rPr>
          <w:b/>
          <w:sz w:val="26"/>
        </w:rPr>
        <w:t xml:space="preserve">THURSDAY, </w:t>
      </w:r>
      <w:bookmarkStart w:id="10" w:name="Meetingdate_3"/>
      <w:bookmarkEnd w:id="10"/>
      <w:r>
        <w:rPr>
          <w:b/>
          <w:sz w:val="26"/>
        </w:rPr>
        <w:t xml:space="preserve">23 JUNE 2016 AT </w:t>
      </w:r>
      <w:bookmarkStart w:id="11" w:name="Meetingtime_2"/>
      <w:bookmarkEnd w:id="11"/>
      <w:r>
        <w:rPr>
          <w:b/>
          <w:sz w:val="26"/>
        </w:rPr>
        <w:t xml:space="preserve">6:00 </w:t>
      </w:r>
      <w:bookmarkStart w:id="12" w:name="AMPMcaps_2"/>
      <w:bookmarkEnd w:id="12"/>
      <w:r>
        <w:rPr>
          <w:b/>
          <w:sz w:val="26"/>
        </w:rPr>
        <w:t>PM</w:t>
      </w:r>
    </w:p>
    <w:p w:rsidR="007252A8" w:rsidRDefault="007252A8">
      <w:pPr>
        <w:pBdr>
          <w:top w:val="double" w:sz="12" w:space="1" w:color="auto"/>
        </w:pBdr>
        <w:tabs>
          <w:tab w:val="left" w:pos="8931"/>
        </w:tabs>
        <w:rPr>
          <w:sz w:val="2"/>
        </w:rPr>
      </w:pPr>
    </w:p>
    <w:p w:rsidR="007252A8" w:rsidRDefault="007252A8"/>
    <w:p w:rsidR="00476733" w:rsidRDefault="00476733">
      <w:r>
        <w:rPr>
          <w:b/>
        </w:rPr>
        <w:t>PRESENT:</w:t>
      </w:r>
    </w:p>
    <w:p w:rsidR="00476733" w:rsidRDefault="00476733"/>
    <w:p w:rsidR="00476733" w:rsidRDefault="00476733">
      <w:pPr>
        <w:tabs>
          <w:tab w:val="left" w:pos="270"/>
        </w:tabs>
        <w:ind w:left="270"/>
        <w:rPr>
          <w:b/>
        </w:rPr>
      </w:pPr>
      <w:r>
        <w:rPr>
          <w:b/>
        </w:rPr>
        <w:t>ELECTED MEMBERS</w:t>
      </w:r>
    </w:p>
    <w:p w:rsidR="00476733" w:rsidRDefault="00476733">
      <w:pPr>
        <w:tabs>
          <w:tab w:val="left" w:pos="270"/>
        </w:tabs>
        <w:ind w:left="270"/>
      </w:pPr>
    </w:p>
    <w:p w:rsidR="00476733" w:rsidRDefault="00476733" w:rsidP="00C455B6">
      <w:pPr>
        <w:tabs>
          <w:tab w:val="left" w:pos="3240"/>
          <w:tab w:val="left" w:pos="4140"/>
        </w:tabs>
        <w:ind w:left="567"/>
      </w:pPr>
      <w:r>
        <w:t>Mr L Howlett</w:t>
      </w:r>
      <w:r>
        <w:tab/>
        <w:t xml:space="preserve"> -</w:t>
      </w:r>
      <w:r>
        <w:tab/>
        <w:t>Mayor (Presiding Member)</w:t>
      </w:r>
    </w:p>
    <w:p w:rsidR="00476733" w:rsidRDefault="00476733" w:rsidP="00C455B6">
      <w:pPr>
        <w:tabs>
          <w:tab w:val="left" w:pos="3240"/>
          <w:tab w:val="left" w:pos="4140"/>
        </w:tabs>
        <w:ind w:left="567"/>
      </w:pPr>
      <w:r>
        <w:t>Mrs C Reeve-Fowkes</w:t>
      </w:r>
      <w:r>
        <w:tab/>
        <w:t xml:space="preserve"> -</w:t>
      </w:r>
      <w:r>
        <w:tab/>
        <w:t xml:space="preserve">Deputy Mayor </w:t>
      </w:r>
    </w:p>
    <w:p w:rsidR="00476733" w:rsidRDefault="00476733" w:rsidP="00C455B6">
      <w:pPr>
        <w:tabs>
          <w:tab w:val="left" w:pos="3240"/>
          <w:tab w:val="left" w:pos="4140"/>
        </w:tabs>
        <w:ind w:left="567"/>
      </w:pPr>
      <w:r>
        <w:t>Mr K Allen</w:t>
      </w:r>
      <w:r>
        <w:tab/>
        <w:t xml:space="preserve"> -</w:t>
      </w:r>
      <w:r>
        <w:tab/>
        <w:t>Councillor</w:t>
      </w:r>
    </w:p>
    <w:p w:rsidR="00476733" w:rsidRDefault="00476733" w:rsidP="00C455B6">
      <w:pPr>
        <w:tabs>
          <w:tab w:val="left" w:pos="3240"/>
          <w:tab w:val="left" w:pos="4140"/>
        </w:tabs>
        <w:ind w:left="567"/>
      </w:pPr>
      <w:r>
        <w:t>Mrs L Sweetman</w:t>
      </w:r>
      <w:r>
        <w:tab/>
        <w:t xml:space="preserve"> -</w:t>
      </w:r>
      <w:r>
        <w:tab/>
        <w:t>Councillor</w:t>
      </w:r>
    </w:p>
    <w:p w:rsidR="00476733" w:rsidRDefault="00476733" w:rsidP="00C455B6">
      <w:pPr>
        <w:tabs>
          <w:tab w:val="left" w:pos="3240"/>
          <w:tab w:val="left" w:pos="4140"/>
        </w:tabs>
        <w:ind w:left="567"/>
      </w:pPr>
      <w:r>
        <w:t>Dr C Terblanche</w:t>
      </w:r>
      <w:r>
        <w:tab/>
        <w:t xml:space="preserve"> -</w:t>
      </w:r>
      <w:r>
        <w:tab/>
        <w:t>Councillor</w:t>
      </w:r>
    </w:p>
    <w:p w:rsidR="00476733" w:rsidRDefault="00476733" w:rsidP="00C455B6">
      <w:pPr>
        <w:tabs>
          <w:tab w:val="left" w:pos="3240"/>
          <w:tab w:val="left" w:pos="4140"/>
        </w:tabs>
        <w:ind w:left="567"/>
      </w:pPr>
      <w:r>
        <w:t>Mr S Portelli</w:t>
      </w:r>
      <w:r>
        <w:tab/>
        <w:t xml:space="preserve"> -</w:t>
      </w:r>
      <w:r>
        <w:tab/>
        <w:t>Councillor</w:t>
      </w:r>
    </w:p>
    <w:p w:rsidR="00476733" w:rsidRDefault="00476733" w:rsidP="00C455B6">
      <w:pPr>
        <w:tabs>
          <w:tab w:val="left" w:pos="3240"/>
          <w:tab w:val="left" w:pos="4140"/>
        </w:tabs>
        <w:ind w:left="567"/>
      </w:pPr>
      <w:r>
        <w:t>Mr P Eva</w:t>
      </w:r>
      <w:r>
        <w:tab/>
        <w:t xml:space="preserve"> -</w:t>
      </w:r>
      <w:r>
        <w:tab/>
        <w:t>Councillor</w:t>
      </w:r>
    </w:p>
    <w:p w:rsidR="00476733" w:rsidRDefault="00476733" w:rsidP="00C455B6">
      <w:pPr>
        <w:tabs>
          <w:tab w:val="left" w:pos="3240"/>
          <w:tab w:val="left" w:pos="4140"/>
        </w:tabs>
        <w:ind w:left="567"/>
      </w:pPr>
      <w:r>
        <w:t>Mr B Houwen</w:t>
      </w:r>
      <w:r>
        <w:tab/>
        <w:t xml:space="preserve"> -</w:t>
      </w:r>
      <w:r>
        <w:tab/>
        <w:t>Councillor</w:t>
      </w:r>
    </w:p>
    <w:p w:rsidR="00476733" w:rsidRDefault="00476733">
      <w:pPr>
        <w:tabs>
          <w:tab w:val="left" w:pos="2835"/>
          <w:tab w:val="left" w:pos="3544"/>
        </w:tabs>
        <w:ind w:left="567"/>
      </w:pPr>
    </w:p>
    <w:p w:rsidR="00476733" w:rsidRDefault="00476733">
      <w:pPr>
        <w:tabs>
          <w:tab w:val="left" w:pos="2835"/>
          <w:tab w:val="left" w:pos="3544"/>
        </w:tabs>
        <w:ind w:left="567"/>
      </w:pPr>
    </w:p>
    <w:p w:rsidR="00476733" w:rsidRDefault="00476733">
      <w:pPr>
        <w:tabs>
          <w:tab w:val="left" w:pos="270"/>
          <w:tab w:val="left" w:pos="2835"/>
          <w:tab w:val="left" w:pos="3544"/>
        </w:tabs>
        <w:ind w:left="270"/>
        <w:rPr>
          <w:b/>
        </w:rPr>
      </w:pPr>
      <w:r>
        <w:rPr>
          <w:b/>
        </w:rPr>
        <w:t>IN ATTENDANCE</w:t>
      </w:r>
    </w:p>
    <w:p w:rsidR="00476733" w:rsidRDefault="00476733">
      <w:pPr>
        <w:tabs>
          <w:tab w:val="left" w:pos="2835"/>
          <w:tab w:val="left" w:pos="3544"/>
        </w:tabs>
        <w:ind w:left="567"/>
      </w:pPr>
    </w:p>
    <w:p w:rsidR="00476733" w:rsidRDefault="00476733">
      <w:pPr>
        <w:tabs>
          <w:tab w:val="left" w:pos="2835"/>
          <w:tab w:val="left" w:pos="3544"/>
        </w:tabs>
        <w:ind w:left="567"/>
      </w:pPr>
      <w:r>
        <w:t>Mr S. Cain</w:t>
      </w:r>
      <w:r>
        <w:tab/>
        <w:t>-</w:t>
      </w:r>
      <w:r>
        <w:tab/>
        <w:t>Chief Executive Officer</w:t>
      </w:r>
    </w:p>
    <w:p w:rsidR="00476733" w:rsidRDefault="00476733">
      <w:pPr>
        <w:tabs>
          <w:tab w:val="left" w:pos="2835"/>
          <w:tab w:val="left" w:pos="3544"/>
        </w:tabs>
        <w:ind w:left="3544" w:hanging="2977"/>
      </w:pPr>
      <w:r>
        <w:t>Mr D. Green</w:t>
      </w:r>
      <w:r>
        <w:tab/>
        <w:t>-</w:t>
      </w:r>
      <w:r>
        <w:tab/>
        <w:t>Director, Governance &amp; Community Services</w:t>
      </w:r>
    </w:p>
    <w:p w:rsidR="00476733" w:rsidRDefault="00476733">
      <w:pPr>
        <w:tabs>
          <w:tab w:val="left" w:pos="2835"/>
          <w:tab w:val="left" w:pos="3544"/>
        </w:tabs>
        <w:ind w:left="567"/>
      </w:pPr>
      <w:r>
        <w:t>Mr S. Downing</w:t>
      </w:r>
      <w:r>
        <w:tab/>
        <w:t>-</w:t>
      </w:r>
      <w:r>
        <w:tab/>
        <w:t>Director, Finance &amp; Corporate Services</w:t>
      </w:r>
    </w:p>
    <w:p w:rsidR="00476733" w:rsidRDefault="00476733">
      <w:pPr>
        <w:tabs>
          <w:tab w:val="left" w:pos="2835"/>
          <w:tab w:val="left" w:pos="3544"/>
        </w:tabs>
        <w:ind w:left="567"/>
      </w:pPr>
      <w:r>
        <w:t>Mr C. Sullivan</w:t>
      </w:r>
      <w:r>
        <w:tab/>
        <w:t>-</w:t>
      </w:r>
      <w:r>
        <w:tab/>
        <w:t>Director, Engineering &amp; Works</w:t>
      </w:r>
    </w:p>
    <w:p w:rsidR="00476733" w:rsidRDefault="00476733">
      <w:pPr>
        <w:tabs>
          <w:tab w:val="left" w:pos="2835"/>
          <w:tab w:val="left" w:pos="3544"/>
        </w:tabs>
        <w:ind w:left="567"/>
      </w:pPr>
      <w:r>
        <w:t>Mr D. Arndt</w:t>
      </w:r>
      <w:r>
        <w:tab/>
        <w:t>-</w:t>
      </w:r>
      <w:r>
        <w:tab/>
        <w:t>Director, Planning &amp; Development</w:t>
      </w:r>
    </w:p>
    <w:p w:rsidR="00476733" w:rsidRDefault="00476733" w:rsidP="00C455B6">
      <w:pPr>
        <w:tabs>
          <w:tab w:val="left" w:pos="2835"/>
          <w:tab w:val="left" w:pos="3544"/>
        </w:tabs>
        <w:ind w:left="567"/>
      </w:pPr>
      <w:r>
        <w:t>Mr N Mauricio</w:t>
      </w:r>
      <w:r>
        <w:tab/>
        <w:t>-</w:t>
      </w:r>
      <w:r>
        <w:tab/>
        <w:t>Manager, Financial Services</w:t>
      </w:r>
    </w:p>
    <w:p w:rsidR="00476733" w:rsidRDefault="00476733">
      <w:pPr>
        <w:tabs>
          <w:tab w:val="left" w:pos="2835"/>
          <w:tab w:val="left" w:pos="3544"/>
        </w:tabs>
        <w:ind w:left="567"/>
      </w:pPr>
      <w:r>
        <w:t>Mrs S. Seymour-Eyles</w:t>
      </w:r>
      <w:r>
        <w:tab/>
        <w:t>Manager, Corporate Communication</w:t>
      </w:r>
    </w:p>
    <w:p w:rsidR="00476733" w:rsidRDefault="00476733" w:rsidP="00C455B6">
      <w:pPr>
        <w:tabs>
          <w:tab w:val="left" w:pos="2835"/>
          <w:tab w:val="left" w:pos="3544"/>
        </w:tabs>
        <w:ind w:left="3544" w:hanging="2977"/>
      </w:pPr>
      <w:r>
        <w:t>Mrs B. Pinto</w:t>
      </w:r>
      <w:r>
        <w:tab/>
        <w:t>-</w:t>
      </w:r>
      <w:r>
        <w:tab/>
        <w:t>PA – Directors, Fin. &amp; Corp. Serv</w:t>
      </w:r>
      <w:proofErr w:type="gramStart"/>
      <w:r>
        <w:t>./</w:t>
      </w:r>
      <w:proofErr w:type="gramEnd"/>
      <w:r>
        <w:t>Gov. &amp; Comm. Serv.</w:t>
      </w:r>
    </w:p>
    <w:p w:rsidR="00476733" w:rsidRDefault="00476733">
      <w:pPr>
        <w:pStyle w:val="AGHEAD1"/>
      </w:pPr>
      <w:bookmarkStart w:id="13" w:name="_Toc384087378"/>
      <w:bookmarkStart w:id="14" w:name="_Toc454780254"/>
      <w:r>
        <w:t>1.</w:t>
      </w:r>
      <w:r>
        <w:tab/>
      </w:r>
      <w:bookmarkEnd w:id="13"/>
      <w:r>
        <w:t>DECLARATION OF MEETING</w:t>
      </w:r>
      <w:bookmarkEnd w:id="14"/>
    </w:p>
    <w:p w:rsidR="00476733" w:rsidRDefault="00476733" w:rsidP="00C455B6">
      <w:pPr>
        <w:ind w:left="680"/>
      </w:pPr>
      <w:r>
        <w:t>The Presiding Member declared the meeting open at 6.00pm.</w:t>
      </w:r>
    </w:p>
    <w:p w:rsidR="00476733" w:rsidRDefault="00476733" w:rsidP="00C455B6">
      <w:pPr>
        <w:ind w:left="680"/>
      </w:pPr>
    </w:p>
    <w:p w:rsidR="00476733" w:rsidRPr="00123A63" w:rsidRDefault="00476733" w:rsidP="00C455B6">
      <w:pPr>
        <w:ind w:left="680"/>
      </w:pPr>
      <w:r>
        <w:t xml:space="preserve">He </w:t>
      </w:r>
      <w:r w:rsidRPr="00820E65">
        <w:rPr>
          <w:rFonts w:cs="Arial"/>
          <w:szCs w:val="24"/>
        </w:rPr>
        <w:t>acknowledge</w:t>
      </w:r>
      <w:r>
        <w:rPr>
          <w:rFonts w:cs="Arial"/>
          <w:szCs w:val="24"/>
        </w:rPr>
        <w:t>d</w:t>
      </w:r>
      <w:r w:rsidRPr="00820E65">
        <w:rPr>
          <w:rFonts w:cs="Arial"/>
          <w:szCs w:val="24"/>
        </w:rPr>
        <w:t xml:space="preserve"> the Nyungar People who are the tradi</w:t>
      </w:r>
      <w:r>
        <w:rPr>
          <w:rFonts w:cs="Arial"/>
          <w:szCs w:val="24"/>
        </w:rPr>
        <w:t xml:space="preserve">tional custodians of the land where this </w:t>
      </w:r>
      <w:r w:rsidRPr="00820E65">
        <w:rPr>
          <w:rFonts w:cs="Arial"/>
          <w:szCs w:val="24"/>
        </w:rPr>
        <w:t xml:space="preserve">meeting </w:t>
      </w:r>
      <w:r>
        <w:rPr>
          <w:rFonts w:cs="Arial"/>
          <w:szCs w:val="24"/>
        </w:rPr>
        <w:t>is held</w:t>
      </w:r>
      <w:r w:rsidRPr="00820E65">
        <w:rPr>
          <w:rFonts w:cs="Arial"/>
          <w:szCs w:val="24"/>
        </w:rPr>
        <w:t xml:space="preserve"> and pay respect to the Elders of the Nyungar Nation, both past and present and extend that respect to Indigenous Australians who are with us tonight.</w:t>
      </w:r>
    </w:p>
    <w:p w:rsidR="00476733" w:rsidRDefault="00476733">
      <w:pPr>
        <w:pStyle w:val="AGHEAD1"/>
      </w:pPr>
      <w:bookmarkStart w:id="15" w:name="_Toc384087379"/>
      <w:bookmarkStart w:id="16" w:name="_Toc454780255"/>
      <w:r>
        <w:t>2.</w:t>
      </w:r>
      <w:r>
        <w:tab/>
      </w:r>
      <w:bookmarkEnd w:id="15"/>
      <w:r>
        <w:t>APPOINTMENT OF PRESIDING MEMBER (If required)</w:t>
      </w:r>
      <w:bookmarkEnd w:id="16"/>
    </w:p>
    <w:p w:rsidR="00476733" w:rsidRDefault="00476733" w:rsidP="00C455B6">
      <w:pPr>
        <w:ind w:left="680"/>
      </w:pPr>
      <w:proofErr w:type="gramStart"/>
      <w:r>
        <w:t>Nil.</w:t>
      </w:r>
      <w:proofErr w:type="gramEnd"/>
    </w:p>
    <w:p w:rsidR="00C455B6" w:rsidRDefault="00C455B6" w:rsidP="00C455B6">
      <w:pPr>
        <w:ind w:left="680"/>
      </w:pPr>
    </w:p>
    <w:p w:rsidR="00C455B6" w:rsidRDefault="00C455B6" w:rsidP="00C455B6">
      <w:pPr>
        <w:ind w:left="680"/>
      </w:pPr>
    </w:p>
    <w:p w:rsidR="00C455B6" w:rsidRPr="00123A63" w:rsidRDefault="00C455B6" w:rsidP="00C455B6">
      <w:pPr>
        <w:ind w:left="680"/>
      </w:pPr>
    </w:p>
    <w:p w:rsidR="00476733" w:rsidRDefault="00476733">
      <w:pPr>
        <w:pStyle w:val="AGHEAD1"/>
      </w:pPr>
      <w:bookmarkStart w:id="17" w:name="_Toc454780256"/>
      <w:r>
        <w:lastRenderedPageBreak/>
        <w:t>3.</w:t>
      </w:r>
      <w:r>
        <w:tab/>
        <w:t>DISCLAIMER (Read aloud by Presiding Member)</w:t>
      </w:r>
      <w:bookmarkEnd w:id="17"/>
    </w:p>
    <w:p w:rsidR="00476733" w:rsidRDefault="00476733">
      <w:pPr>
        <w:tabs>
          <w:tab w:val="left" w:pos="709"/>
        </w:tabs>
        <w:ind w:left="720"/>
      </w:pPr>
      <w:r>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476733" w:rsidRDefault="00476733" w:rsidP="00476733">
      <w:pPr>
        <w:pStyle w:val="AGHEAD1"/>
      </w:pPr>
      <w:bookmarkStart w:id="18" w:name="_Toc454780257"/>
      <w:r>
        <w:t>4.</w:t>
      </w:r>
      <w:r>
        <w:tab/>
        <w:t>ACKNOWLEDGEMENT OF RECEIPT OF WRITTEN DECLARATIONS OF FINANCIAL INTERESTS AND CONFLICT OF INTEREST (by Presiding Member)</w:t>
      </w:r>
      <w:bookmarkEnd w:id="18"/>
    </w:p>
    <w:p w:rsidR="001946DE" w:rsidRDefault="00476733" w:rsidP="00476733">
      <w:r>
        <w:tab/>
        <w:t>Nil</w:t>
      </w:r>
    </w:p>
    <w:bookmarkStart w:id="19" w:name="_Toc384087391"/>
    <w:p w:rsidR="00476733" w:rsidRDefault="00476733">
      <w:pPr>
        <w:pStyle w:val="AGHEAD1"/>
      </w:pPr>
      <w:r>
        <w:fldChar w:fldCharType="begin"/>
      </w:r>
      <w:r>
        <w:instrText xml:space="preserve"> MERGEFIELD Item_No </w:instrText>
      </w:r>
      <w:r>
        <w:fldChar w:fldCharType="separate"/>
      </w:r>
      <w:bookmarkStart w:id="20" w:name="_Toc454780258"/>
      <w:r w:rsidRPr="0061063A">
        <w:rPr>
          <w:noProof/>
        </w:rPr>
        <w:t>5</w:t>
      </w:r>
      <w:r>
        <w:fldChar w:fldCharType="end"/>
      </w:r>
      <w:r>
        <w:tab/>
      </w:r>
      <w:bookmarkEnd w:id="19"/>
      <w:r>
        <w:fldChar w:fldCharType="begin"/>
      </w:r>
      <w:r>
        <w:instrText xml:space="preserve"> IF </w:instrText>
      </w:r>
      <w:r>
        <w:fldChar w:fldCharType="begin"/>
      </w:r>
      <w:r>
        <w:instrText xml:space="preserve"> MERGEFIELD Insert_before_Item_No </w:instrText>
      </w:r>
      <w:r>
        <w:fldChar w:fldCharType="end"/>
      </w:r>
      <w:r>
        <w:instrText>= "" "</w:instrText>
      </w:r>
      <w:r>
        <w:fldChar w:fldCharType="begin"/>
      </w:r>
      <w:r>
        <w:instrText xml:space="preserve"> IF </w:instrText>
      </w:r>
      <w:r>
        <w:fldChar w:fldCharType="begin"/>
      </w:r>
      <w:r>
        <w:instrText xml:space="preserve"> MERGEFIELD Minute_No_1 </w:instrText>
      </w:r>
      <w:r>
        <w:fldChar w:fldCharType="end"/>
      </w:r>
      <w:r>
        <w:instrText>&lt;&gt; "" "</w:instrText>
      </w:r>
      <w:r>
        <w:rPr>
          <w:sz w:val="28"/>
          <w:u w:val="single"/>
        </w:rPr>
        <w:instrText>(MINUTE NO</w:instrText>
      </w:r>
      <w:r>
        <w:rPr>
          <w:u w:val="single"/>
        </w:rPr>
        <w:instrText xml:space="preserve"> </w:instrText>
      </w:r>
      <w:r>
        <w:instrText xml:space="preserve">" "" \* Upper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w:instrText>
      </w:r>
      <w:r>
        <w:rPr>
          <w:b w:val="0"/>
          <w:bCs/>
        </w:rPr>
        <w:instrText>"</w:instrText>
      </w:r>
      <w:r>
        <w:rPr>
          <w:sz w:val="28"/>
          <w:u w:val="single"/>
        </w:rPr>
        <w:fldChar w:fldCharType="begin"/>
      </w:r>
      <w:r>
        <w:rPr>
          <w:sz w:val="28"/>
          <w:u w:val="single"/>
        </w:rPr>
        <w:instrText xml:space="preserve"> MERGEFIELD Minute_No_1 </w:instrText>
      </w:r>
      <w:r>
        <w:rPr>
          <w:sz w:val="28"/>
          <w:u w:val="single"/>
        </w:rPr>
        <w:fldChar w:fldCharType="separate"/>
      </w:r>
      <w:r>
        <w:rPr>
          <w:sz w:val="28"/>
          <w:u w:val="single"/>
        </w:rPr>
        <w:instrText>1974</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Minute_No_2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Minute_No_3 </w:instrText>
      </w:r>
      <w:r>
        <w:fldChar w:fldCharType="end"/>
      </w:r>
      <w:r>
        <w:instrText xml:space="preserve">&lt;&gt; "" </w:instrText>
      </w:r>
      <w:r>
        <w:rPr>
          <w:b w:val="0"/>
          <w:bCs/>
        </w:rPr>
        <w:instrText>"</w:instrText>
      </w:r>
      <w:r>
        <w:rPr>
          <w:sz w:val="28"/>
          <w:u w:val="single"/>
        </w:rPr>
        <w:instrText xml:space="preserve">, </w:instrText>
      </w:r>
      <w:r>
        <w:rPr>
          <w:sz w:val="28"/>
          <w:u w:val="single"/>
        </w:rPr>
        <w:fldChar w:fldCharType="begin"/>
      </w:r>
      <w:r>
        <w:rPr>
          <w:sz w:val="28"/>
          <w:u w:val="single"/>
        </w:rPr>
        <w:instrText xml:space="preserve"> MERGEFIELD Minute_No_3 </w:instrText>
      </w:r>
      <w:r>
        <w:rPr>
          <w:sz w:val="28"/>
          <w:u w:val="single"/>
        </w:rPr>
        <w:fldChar w:fldCharType="separate"/>
      </w:r>
      <w:r>
        <w:rPr>
          <w:sz w:val="28"/>
          <w:u w:val="single"/>
        </w:rPr>
        <w:instrText>1993</w:instrText>
      </w:r>
      <w:r>
        <w:rPr>
          <w:sz w:val="28"/>
          <w:u w:val="single"/>
        </w:rPr>
        <w:fldChar w:fldCharType="end"/>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&lt;&gt; "" "</w:instrText>
      </w:r>
      <w:r>
        <w:rPr>
          <w:u w:val="single"/>
        </w:rPr>
        <w:instrText>)</w:instrText>
      </w:r>
      <w:r>
        <w:instrText xml:space="preserve">" "" </w:instrText>
      </w:r>
      <w:r>
        <w:fldChar w:fldCharType="end"/>
      </w:r>
      <w:r>
        <w:fldChar w:fldCharType="begin"/>
      </w:r>
      <w:r>
        <w:instrText xml:space="preserve"> IF </w:instrText>
      </w:r>
      <w:r>
        <w:fldChar w:fldCharType="begin"/>
      </w:r>
      <w:r>
        <w:instrText xml:space="preserve"> MERGEFIELD Minute_No_1 </w:instrText>
      </w:r>
      <w:r>
        <w:fldChar w:fldCharType="end"/>
      </w:r>
      <w:r>
        <w:instrText xml:space="preserve">&lt;&gt; "" " " "" </w:instrText>
      </w:r>
      <w:r>
        <w:fldChar w:fldCharType="end"/>
      </w:r>
      <w:r>
        <w:instrText>(</w:instrText>
      </w:r>
      <w:fldSimple w:instr=" MERGEFIELD Meeting_Alternate \* Upper ">
        <w:r w:rsidRPr="0061063A">
          <w:rPr>
            <w:noProof/>
          </w:rPr>
          <w:instrText>SCM 23/06/2016</w:instrText>
        </w:r>
      </w:fldSimple>
      <w:r>
        <w:instrText xml:space="preserve">) - </w:instrText>
      </w:r>
      <w:fldSimple w:instr=" MERGEFIELD Subject  \* UPPER ">
        <w:r w:rsidRPr="0061063A">
          <w:rPr>
            <w:noProof/>
          </w:rPr>
          <w:instrText>APOLOGIES &amp; LEAVE OF ABSENCE</w:instrText>
        </w:r>
      </w:fldSimple>
      <w:r>
        <w:instrText>" "</w:instrText>
      </w:r>
      <w:r>
        <w:fldChar w:fldCharType="begin"/>
      </w:r>
      <w:r>
        <w:instrText xml:space="preserve"> IF </w:instrText>
      </w:r>
      <w:fldSimple w:instr=" MERGEFIELD Minute_No_2 ">
        <w:r>
          <w:rPr>
            <w:noProof/>
          </w:rPr>
          <w:instrText>«Minute_No_2»</w:instrText>
        </w:r>
      </w:fldSimple>
      <w:r>
        <w:instrText>&lt;&gt; "" "</w:instrText>
      </w:r>
      <w:r>
        <w:rPr>
          <w:sz w:val="28"/>
          <w:u w:val="single"/>
        </w:rPr>
        <w:instrText xml:space="preserve">(MINUTE NO </w:instrText>
      </w:r>
      <w:r>
        <w:instrText xml:space="preserve">" "" \* Upper  </w:instrText>
      </w:r>
      <w:r>
        <w:fldChar w:fldCharType="separate"/>
      </w:r>
      <w:r>
        <w:rPr>
          <w:noProof/>
          <w:sz w:val="28"/>
          <w:u w:val="single"/>
        </w:rPr>
        <w:instrText xml:space="preserve">(MINUTE NO </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noProof/>
          <w:sz w:val="28"/>
          <w:u w:val="single"/>
        </w:rPr>
        <w:instrText>«Minute_No_2»</w:instrText>
      </w:r>
      <w:r>
        <w:rPr>
          <w:sz w:val="28"/>
          <w:u w:val="single"/>
        </w:rPr>
        <w:fldChar w:fldCharType="end"/>
      </w:r>
      <w:r>
        <w:instrText xml:space="preserve">" "" </w:instrText>
      </w:r>
      <w:r>
        <w:fldChar w:fldCharType="separate"/>
      </w:r>
      <w:r>
        <w:rPr>
          <w:noProof/>
          <w:sz w:val="28"/>
          <w:u w:val="single"/>
        </w:rPr>
        <w:instrText>«Minute_No_2»</w:instrText>
      </w:r>
      <w:r>
        <w:fldChar w:fldCharType="end"/>
      </w:r>
      <w:r>
        <w:fldChar w:fldCharType="begin"/>
      </w:r>
      <w:r>
        <w:instrText xml:space="preserve"> IF </w:instrText>
      </w:r>
      <w:fldSimple w:instr=" MERGEFIELD Minute_No_2 ">
        <w:r>
          <w:rPr>
            <w:noProof/>
          </w:rPr>
          <w:instrText>«Minute_No_2»</w:instrText>
        </w:r>
      </w:fldSimple>
      <w:r>
        <w:instrText>&lt;&gt; "" "</w:instrText>
      </w:r>
      <w:r>
        <w:rPr>
          <w:sz w:val="28"/>
          <w:u w:val="single"/>
        </w:rPr>
        <w:instrText>)</w:instrText>
      </w:r>
      <w:r>
        <w:instrText xml:space="preserve">" "" </w:instrText>
      </w:r>
      <w:r>
        <w:fldChar w:fldCharType="separate"/>
      </w:r>
      <w:r>
        <w:rPr>
          <w:noProof/>
          <w:sz w:val="28"/>
          <w:u w:val="single"/>
        </w:rPr>
        <w:instrText>)</w:instrText>
      </w:r>
      <w:r>
        <w:fldChar w:fldCharType="end"/>
      </w:r>
      <w:r>
        <w:fldChar w:fldCharType="begin"/>
      </w:r>
      <w:r>
        <w:instrText xml:space="preserve"> IF </w:instrText>
      </w:r>
      <w:fldSimple w:instr=" MERGEFIELD Minute_No_2 ">
        <w:r>
          <w:rPr>
            <w:noProof/>
          </w:rPr>
          <w:instrText>«Minute_No_2»</w:instrText>
        </w:r>
      </w:fldSimple>
      <w:r>
        <w:instrText xml:space="preserve">&lt;&gt; "" " " "" </w:instrText>
      </w:r>
      <w:r>
        <w:fldChar w:fldCharType="separate"/>
      </w:r>
      <w:r>
        <w:rPr>
          <w:noProof/>
        </w:rPr>
        <w:instrText xml:space="preserve"> </w:instrText>
      </w:r>
      <w:r>
        <w:fldChar w:fldCharType="end"/>
      </w:r>
      <w:r>
        <w:instrText>(</w:instrText>
      </w:r>
      <w:fldSimple w:instr=" MERGEFIELD Meeting_Alternate \* Upper ">
        <w:r>
          <w:rPr>
            <w:noProof/>
          </w:rPr>
          <w:instrText>«MEETING_ALTERNATE»</w:instrText>
        </w:r>
      </w:fldSimple>
      <w:r>
        <w:instrText xml:space="preserve">) - </w:instrText>
      </w:r>
      <w:fldSimple w:instr=" MERGEFIELD Subject  \* UPPER ">
        <w:r>
          <w:rPr>
            <w:noProof/>
          </w:rPr>
          <w:instrText>«SUBJECT»</w:instrText>
        </w:r>
      </w:fldSimple>
      <w:r>
        <w:instrText xml:space="preserve">" </w:instrText>
      </w:r>
      <w:r>
        <w:fldChar w:fldCharType="separate"/>
      </w:r>
      <w:r w:rsidR="000D3B8F">
        <w:rPr>
          <w:noProof/>
        </w:rPr>
        <w:t>(</w:t>
      </w:r>
      <w:r w:rsidR="000D3B8F">
        <w:rPr>
          <w:noProof/>
        </w:rPr>
        <w:fldChar w:fldCharType="begin"/>
      </w:r>
      <w:r w:rsidR="000D3B8F">
        <w:rPr>
          <w:noProof/>
        </w:rPr>
        <w:instrText xml:space="preserve"> MERGEFIELD Meeting_Alternate \* Upper </w:instrText>
      </w:r>
      <w:r w:rsidR="000D3B8F">
        <w:rPr>
          <w:noProof/>
        </w:rPr>
        <w:fldChar w:fldCharType="separate"/>
      </w:r>
      <w:r w:rsidR="000D3B8F" w:rsidRPr="0061063A">
        <w:rPr>
          <w:noProof/>
        </w:rPr>
        <w:t>SCM 23/06/2016</w:t>
      </w:r>
      <w:r w:rsidR="000D3B8F">
        <w:rPr>
          <w:noProof/>
        </w:rPr>
        <w:fldChar w:fldCharType="end"/>
      </w:r>
      <w:r w:rsidR="000D3B8F">
        <w:rPr>
          <w:noProof/>
        </w:rPr>
        <w:t xml:space="preserve">) - </w:t>
      </w:r>
      <w:r w:rsidR="000D3B8F">
        <w:rPr>
          <w:noProof/>
        </w:rPr>
        <w:fldChar w:fldCharType="begin"/>
      </w:r>
      <w:r w:rsidR="000D3B8F">
        <w:rPr>
          <w:noProof/>
        </w:rPr>
        <w:instrText xml:space="preserve"> MERGEFIELD Subject  \* UPPER </w:instrText>
      </w:r>
      <w:r w:rsidR="000D3B8F">
        <w:rPr>
          <w:noProof/>
        </w:rPr>
        <w:fldChar w:fldCharType="separate"/>
      </w:r>
      <w:r w:rsidR="000D3B8F" w:rsidRPr="0061063A">
        <w:rPr>
          <w:noProof/>
        </w:rPr>
        <w:t>APOLOGIES &amp; LEAVE OF ABSENCE</w:t>
      </w:r>
      <w:r w:rsidR="000D3B8F">
        <w:rPr>
          <w:noProof/>
        </w:rPr>
        <w:fldChar w:fldCharType="end"/>
      </w:r>
      <w:bookmarkEnd w:id="20"/>
      <w:r>
        <w:fldChar w:fldCharType="end"/>
      </w:r>
    </w:p>
    <w:tbl>
      <w:tblPr>
        <w:tblW w:w="0" w:type="auto"/>
        <w:tblInd w:w="828" w:type="dxa"/>
        <w:tblLayout w:type="fixed"/>
        <w:tblLook w:val="0000" w:firstRow="0" w:lastRow="0" w:firstColumn="0" w:lastColumn="0" w:noHBand="0" w:noVBand="0"/>
      </w:tblPr>
      <w:tblGrid>
        <w:gridCol w:w="8415"/>
      </w:tblGrid>
      <w:tr w:rsidR="00476733" w:rsidTr="00C455B6">
        <w:tc>
          <w:tcPr>
            <w:tcW w:w="8415" w:type="dxa"/>
          </w:tcPr>
          <w:p w:rsidR="00476733" w:rsidRDefault="00476733" w:rsidP="00C455B6">
            <w:pPr>
              <w:pStyle w:val="CommentText"/>
              <w:tabs>
                <w:tab w:val="left" w:pos="3762"/>
                <w:tab w:val="left" w:pos="5022"/>
              </w:tabs>
              <w:rPr>
                <w:bCs/>
              </w:rPr>
            </w:pPr>
            <w:proofErr w:type="spellStart"/>
            <w:r>
              <w:rPr>
                <w:bCs/>
              </w:rPr>
              <w:t>Clr</w:t>
            </w:r>
            <w:proofErr w:type="spellEnd"/>
            <w:r>
              <w:rPr>
                <w:bCs/>
              </w:rPr>
              <w:t xml:space="preserve"> Stephen Pratt</w:t>
            </w:r>
            <w:r>
              <w:rPr>
                <w:bCs/>
              </w:rPr>
              <w:tab/>
              <w:t>-</w:t>
            </w:r>
            <w:r>
              <w:rPr>
                <w:bCs/>
              </w:rPr>
              <w:tab/>
              <w:t>Apology</w:t>
            </w:r>
          </w:p>
          <w:p w:rsidR="00476733" w:rsidRDefault="00476733" w:rsidP="00C455B6">
            <w:pPr>
              <w:pStyle w:val="CommentText"/>
              <w:tabs>
                <w:tab w:val="left" w:pos="3762"/>
                <w:tab w:val="left" w:pos="5022"/>
              </w:tabs>
              <w:rPr>
                <w:bCs/>
              </w:rPr>
            </w:pPr>
            <w:proofErr w:type="spellStart"/>
            <w:r>
              <w:rPr>
                <w:bCs/>
              </w:rPr>
              <w:t>Clr</w:t>
            </w:r>
            <w:proofErr w:type="spellEnd"/>
            <w:r>
              <w:rPr>
                <w:bCs/>
              </w:rPr>
              <w:t xml:space="preserve"> Lee-Ann Smith</w:t>
            </w:r>
            <w:r>
              <w:rPr>
                <w:bCs/>
              </w:rPr>
              <w:tab/>
              <w:t>-</w:t>
            </w:r>
            <w:r>
              <w:rPr>
                <w:bCs/>
              </w:rPr>
              <w:tab/>
              <w:t>Apology</w:t>
            </w:r>
          </w:p>
        </w:tc>
      </w:tr>
    </w:tbl>
    <w:p w:rsidR="00476733" w:rsidRDefault="00017A3E">
      <w:pPr>
        <w:pStyle w:val="AGHEAD1"/>
      </w:pPr>
      <w:fldSimple w:instr=" MERGEFIELD Item_No ">
        <w:bookmarkStart w:id="21" w:name="_Toc454780259"/>
        <w:r w:rsidR="00476733" w:rsidRPr="00B66AFF">
          <w:rPr>
            <w:noProof/>
          </w:rPr>
          <w:t>6</w:t>
        </w:r>
      </w:fldSimple>
      <w:r w:rsidR="00476733">
        <w:tab/>
      </w:r>
      <w:r w:rsidR="00476733">
        <w:fldChar w:fldCharType="begin"/>
      </w:r>
      <w:r w:rsidR="00476733">
        <w:instrText xml:space="preserve"> IF </w:instrText>
      </w:r>
      <w:r w:rsidR="00476733">
        <w:fldChar w:fldCharType="begin"/>
      </w:r>
      <w:r w:rsidR="00476733">
        <w:instrText xml:space="preserve"> MERGEFIELD Insert_before_Item_No </w:instrText>
      </w:r>
      <w:r w:rsidR="00476733">
        <w:fldChar w:fldCharType="end"/>
      </w:r>
      <w:r w:rsidR="00476733">
        <w:instrText>= "" "</w:instrText>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&lt;&gt; "" "</w:instrText>
      </w:r>
      <w:r w:rsidR="00476733">
        <w:rPr>
          <w:sz w:val="28"/>
          <w:u w:val="single"/>
        </w:rPr>
        <w:instrText>(MINUTE NO</w:instrText>
      </w:r>
      <w:r w:rsidR="00476733">
        <w:rPr>
          <w:u w:val="single"/>
        </w:rPr>
        <w:instrText xml:space="preserve"> </w:instrText>
      </w:r>
      <w:r w:rsidR="00476733">
        <w:instrText xml:space="preserve">" "" \* Upper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 xml:space="preserve">&lt;&gt; "" </w:instrText>
      </w:r>
      <w:r w:rsidR="00476733">
        <w:rPr>
          <w:b w:val="0"/>
          <w:bCs/>
        </w:rPr>
        <w:instrText>"</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Pr>
          <w:sz w:val="28"/>
          <w:u w:val="single"/>
        </w:rPr>
        <w:instrText>1974</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Minute_No_2 </w:instrText>
      </w:r>
      <w:r w:rsidR="00476733">
        <w:fldChar w:fldCharType="end"/>
      </w:r>
      <w:r w:rsidR="00476733">
        <w:instrText xml:space="preserve">&lt;&gt; "" </w:instrText>
      </w:r>
      <w:r w:rsidR="00476733">
        <w:rPr>
          <w:b w:val="0"/>
          <w:bCs/>
        </w:rPr>
        <w:instrText>"</w:instrText>
      </w:r>
      <w:r w:rsidR="00476733">
        <w:rPr>
          <w:sz w:val="28"/>
          <w:u w:val="single"/>
        </w:rPr>
        <w:instrText xml:space="preserve">, </w:instrText>
      </w:r>
      <w:r w:rsidR="00476733">
        <w:rPr>
          <w:sz w:val="28"/>
          <w:u w:val="single"/>
        </w:rPr>
        <w:fldChar w:fldCharType="begin"/>
      </w:r>
      <w:r w:rsidR="00476733">
        <w:rPr>
          <w:sz w:val="28"/>
          <w:u w:val="single"/>
        </w:rPr>
        <w:instrText xml:space="preserve"> MERGEFIELD Minute_No_2 </w:instrText>
      </w:r>
      <w:r w:rsidR="00476733">
        <w:rPr>
          <w:sz w:val="28"/>
          <w:u w:val="single"/>
        </w:rPr>
        <w:fldChar w:fldCharType="separate"/>
      </w:r>
      <w:r w:rsidR="00476733">
        <w:rPr>
          <w:sz w:val="28"/>
          <w:u w:val="single"/>
        </w:rPr>
        <w:instrText>1993</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Minute_No_3 </w:instrText>
      </w:r>
      <w:r w:rsidR="00476733">
        <w:fldChar w:fldCharType="end"/>
      </w:r>
      <w:r w:rsidR="00476733">
        <w:instrText xml:space="preserve">&lt;&gt; "" </w:instrText>
      </w:r>
      <w:r w:rsidR="00476733">
        <w:rPr>
          <w:b w:val="0"/>
          <w:bCs/>
        </w:rPr>
        <w:instrText>"</w:instrText>
      </w:r>
      <w:r w:rsidR="00476733">
        <w:rPr>
          <w:sz w:val="28"/>
          <w:u w:val="single"/>
        </w:rPr>
        <w:instrText xml:space="preserve">, </w:instrText>
      </w:r>
      <w:r w:rsidR="00476733">
        <w:rPr>
          <w:sz w:val="28"/>
          <w:u w:val="single"/>
        </w:rPr>
        <w:fldChar w:fldCharType="begin"/>
      </w:r>
      <w:r w:rsidR="00476733">
        <w:rPr>
          <w:sz w:val="28"/>
          <w:u w:val="single"/>
        </w:rPr>
        <w:instrText xml:space="preserve"> MERGEFIELD Minute_No_3 </w:instrText>
      </w:r>
      <w:r w:rsidR="00476733">
        <w:rPr>
          <w:sz w:val="28"/>
          <w:u w:val="single"/>
        </w:rPr>
        <w:fldChar w:fldCharType="separate"/>
      </w:r>
      <w:r w:rsidR="00476733">
        <w:rPr>
          <w:sz w:val="28"/>
          <w:u w:val="single"/>
        </w:rPr>
        <w:instrText>1993</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&lt;&gt; "" "</w:instrText>
      </w:r>
      <w:r w:rsidR="00476733">
        <w:rPr>
          <w:u w:val="single"/>
        </w:rPr>
        <w:instrText>)</w:instrText>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 xml:space="preserve">&lt;&gt; "" " " "" </w:instrText>
      </w:r>
      <w:r w:rsidR="00476733">
        <w:fldChar w:fldCharType="end"/>
      </w:r>
      <w:r w:rsidR="00476733">
        <w:instrText>(</w:instrText>
      </w:r>
      <w:fldSimple w:instr=" MERGEFIELD Meeting_Alternate \* Upper ">
        <w:r w:rsidR="00476733" w:rsidRPr="00B66AFF">
          <w:rPr>
            <w:noProof/>
          </w:rPr>
          <w:instrText>SCM 23/06/2016</w:instrText>
        </w:r>
      </w:fldSimple>
      <w:r w:rsidR="00476733">
        <w:instrText xml:space="preserve">) - </w:instrText>
      </w:r>
      <w:fldSimple w:instr=" MERGEFIELD Subject  \* UPPER ">
        <w:r w:rsidR="00476733" w:rsidRPr="00B66AFF">
          <w:rPr>
            <w:noProof/>
          </w:rPr>
          <w:instrText>PUBLIC QUESTION TIME</w:instrText>
        </w:r>
      </w:fldSimple>
      <w:r w:rsidR="00476733">
        <w:instrText>" "</w:instrText>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instrText xml:space="preserve">(MINUTE NO </w:instrText>
      </w:r>
      <w:r w:rsidR="00476733">
        <w:instrText xml:space="preserve">" "" \* Upper  </w:instrText>
      </w:r>
      <w:r w:rsidR="00476733">
        <w:fldChar w:fldCharType="separate"/>
      </w:r>
      <w:r w:rsidR="00476733">
        <w:rPr>
          <w:noProof/>
          <w:sz w:val="28"/>
          <w:u w:val="single"/>
        </w:rPr>
        <w:instrText xml:space="preserve">(MINUTE NO </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fldChar w:fldCharType="begin"/>
      </w:r>
      <w:r w:rsidR="00476733">
        <w:rPr>
          <w:sz w:val="28"/>
          <w:u w:val="single"/>
        </w:rPr>
        <w:instrText xml:space="preserve"> MERGEFIELD Minute_No_2 </w:instrText>
      </w:r>
      <w:r w:rsidR="00476733">
        <w:rPr>
          <w:sz w:val="28"/>
          <w:u w:val="single"/>
        </w:rPr>
        <w:fldChar w:fldCharType="separate"/>
      </w:r>
      <w:r w:rsidR="00476733">
        <w:rPr>
          <w:noProof/>
          <w:sz w:val="28"/>
          <w:u w:val="single"/>
        </w:rPr>
        <w:instrText>«Minute_No_2»</w:instrText>
      </w:r>
      <w:r w:rsidR="00476733">
        <w:rPr>
          <w:sz w:val="28"/>
          <w:u w:val="single"/>
        </w:rPr>
        <w:fldChar w:fldCharType="end"/>
      </w:r>
      <w:r w:rsidR="00476733">
        <w:instrText xml:space="preserve">" "" </w:instrText>
      </w:r>
      <w:r w:rsidR="00476733">
        <w:fldChar w:fldCharType="separate"/>
      </w:r>
      <w:r w:rsidR="00476733">
        <w:rPr>
          <w:noProof/>
          <w:sz w:val="28"/>
          <w:u w:val="single"/>
        </w:rPr>
        <w:instrText>«Minute_No_2»</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instrText>)</w:instrText>
      </w:r>
      <w:r w:rsidR="00476733">
        <w:instrText xml:space="preserve">" "" </w:instrText>
      </w:r>
      <w:r w:rsidR="00476733">
        <w:fldChar w:fldCharType="separate"/>
      </w:r>
      <w:r w:rsidR="00476733">
        <w:rPr>
          <w:noProof/>
          <w:sz w:val="28"/>
          <w:u w:val="single"/>
        </w:rPr>
        <w:instrText>)</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 xml:space="preserve">&lt;&gt; "" " " "" </w:instrText>
      </w:r>
      <w:r w:rsidR="00476733">
        <w:fldChar w:fldCharType="separate"/>
      </w:r>
      <w:r w:rsidR="00476733">
        <w:rPr>
          <w:noProof/>
        </w:rPr>
        <w:instrText xml:space="preserve"> </w:instrText>
      </w:r>
      <w:r w:rsidR="00476733">
        <w:fldChar w:fldCharType="end"/>
      </w:r>
      <w:r w:rsidR="00476733">
        <w:instrText>(</w:instrText>
      </w:r>
      <w:fldSimple w:instr=" MERGEFIELD Meeting_Alternate \* Upper ">
        <w:r w:rsidR="00476733">
          <w:rPr>
            <w:noProof/>
          </w:rPr>
          <w:instrText>«MEETING_ALTERNATE»</w:instrText>
        </w:r>
      </w:fldSimple>
      <w:r w:rsidR="00476733">
        <w:instrText xml:space="preserve">) - </w:instrText>
      </w:r>
      <w:fldSimple w:instr=" MERGEFIELD Subject  \* UPPER ">
        <w:r w:rsidR="00476733">
          <w:rPr>
            <w:noProof/>
          </w:rPr>
          <w:instrText>«SUBJECT»</w:instrText>
        </w:r>
      </w:fldSimple>
      <w:r w:rsidR="00476733">
        <w:instrText xml:space="preserve">" </w:instrText>
      </w:r>
      <w:r w:rsidR="00476733">
        <w:fldChar w:fldCharType="separate"/>
      </w:r>
      <w:r w:rsidR="000D3B8F">
        <w:rPr>
          <w:noProof/>
        </w:rPr>
        <w:t>(</w:t>
      </w:r>
      <w:r w:rsidR="000D3B8F">
        <w:rPr>
          <w:noProof/>
        </w:rPr>
        <w:fldChar w:fldCharType="begin"/>
      </w:r>
      <w:r w:rsidR="000D3B8F">
        <w:rPr>
          <w:noProof/>
        </w:rPr>
        <w:instrText xml:space="preserve"> MERGEFIELD Meeting_Alternate \* Upper </w:instrText>
      </w:r>
      <w:r w:rsidR="000D3B8F">
        <w:rPr>
          <w:noProof/>
        </w:rPr>
        <w:fldChar w:fldCharType="separate"/>
      </w:r>
      <w:r w:rsidR="000D3B8F" w:rsidRPr="00B66AFF">
        <w:rPr>
          <w:noProof/>
        </w:rPr>
        <w:t>SCM 23/06/2016</w:t>
      </w:r>
      <w:r w:rsidR="000D3B8F">
        <w:rPr>
          <w:noProof/>
        </w:rPr>
        <w:fldChar w:fldCharType="end"/>
      </w:r>
      <w:r w:rsidR="000D3B8F">
        <w:rPr>
          <w:noProof/>
        </w:rPr>
        <w:t xml:space="preserve">) - </w:t>
      </w:r>
      <w:r w:rsidR="000D3B8F">
        <w:rPr>
          <w:noProof/>
        </w:rPr>
        <w:fldChar w:fldCharType="begin"/>
      </w:r>
      <w:r w:rsidR="000D3B8F">
        <w:rPr>
          <w:noProof/>
        </w:rPr>
        <w:instrText xml:space="preserve"> MERGEFIELD Subject  \* UPPER </w:instrText>
      </w:r>
      <w:r w:rsidR="000D3B8F">
        <w:rPr>
          <w:noProof/>
        </w:rPr>
        <w:fldChar w:fldCharType="separate"/>
      </w:r>
      <w:r w:rsidR="000D3B8F" w:rsidRPr="00B66AFF">
        <w:rPr>
          <w:noProof/>
        </w:rPr>
        <w:t>PUBLIC QUESTION TIME</w:t>
      </w:r>
      <w:r w:rsidR="000D3B8F">
        <w:rPr>
          <w:noProof/>
        </w:rPr>
        <w:fldChar w:fldCharType="end"/>
      </w:r>
      <w:bookmarkEnd w:id="21"/>
      <w:r w:rsidR="00476733">
        <w:fldChar w:fldCharType="end"/>
      </w:r>
    </w:p>
    <w:tbl>
      <w:tblPr>
        <w:tblW w:w="0" w:type="auto"/>
        <w:tblInd w:w="828" w:type="dxa"/>
        <w:tblLayout w:type="fixed"/>
        <w:tblLook w:val="0000" w:firstRow="0" w:lastRow="0" w:firstColumn="0" w:lastColumn="0" w:noHBand="0" w:noVBand="0"/>
      </w:tblPr>
      <w:tblGrid>
        <w:gridCol w:w="8415"/>
      </w:tblGrid>
      <w:tr w:rsidR="00476733" w:rsidTr="00C455B6">
        <w:tc>
          <w:tcPr>
            <w:tcW w:w="8415" w:type="dxa"/>
          </w:tcPr>
          <w:p w:rsidR="00476733" w:rsidRPr="00EC5B68" w:rsidRDefault="00476733">
            <w:pPr>
              <w:pStyle w:val="CommentText"/>
              <w:tabs>
                <w:tab w:val="left" w:pos="720"/>
                <w:tab w:val="left" w:pos="1440"/>
              </w:tabs>
              <w:rPr>
                <w:b/>
                <w:bCs/>
              </w:rPr>
            </w:pPr>
            <w:r w:rsidRPr="00EC5B68">
              <w:rPr>
                <w:b/>
                <w:bCs/>
              </w:rPr>
              <w:t xml:space="preserve">Maria </w:t>
            </w:r>
            <w:proofErr w:type="spellStart"/>
            <w:r w:rsidRPr="00EC5B68">
              <w:rPr>
                <w:b/>
                <w:bCs/>
              </w:rPr>
              <w:t>Gaglia</w:t>
            </w:r>
            <w:proofErr w:type="spellEnd"/>
            <w:r w:rsidRPr="00EC5B68">
              <w:rPr>
                <w:b/>
                <w:bCs/>
              </w:rPr>
              <w:t>, Hammond Park</w:t>
            </w:r>
          </w:p>
          <w:p w:rsidR="00476733" w:rsidRDefault="00476733">
            <w:pPr>
              <w:pStyle w:val="CommentText"/>
              <w:tabs>
                <w:tab w:val="left" w:pos="720"/>
                <w:tab w:val="left" w:pos="1440"/>
              </w:tabs>
              <w:rPr>
                <w:bCs/>
              </w:rPr>
            </w:pPr>
          </w:p>
          <w:p w:rsidR="00476733" w:rsidRDefault="00476733" w:rsidP="00C455B6">
            <w:pPr>
              <w:pStyle w:val="CommentText"/>
              <w:tabs>
                <w:tab w:val="left" w:pos="720"/>
                <w:tab w:val="left" w:pos="1440"/>
              </w:tabs>
              <w:ind w:left="720" w:hanging="720"/>
              <w:rPr>
                <w:bCs/>
              </w:rPr>
            </w:pPr>
            <w:r>
              <w:rPr>
                <w:bCs/>
              </w:rPr>
              <w:t>Q1.</w:t>
            </w:r>
            <w:r>
              <w:rPr>
                <w:bCs/>
              </w:rPr>
              <w:tab/>
              <w:t>When is the City going to acquire the road reserve adjacent to her property at 466 Wattleup Road, Hammond Park?</w:t>
            </w:r>
          </w:p>
          <w:p w:rsidR="00476733" w:rsidRDefault="00476733" w:rsidP="00C455B6">
            <w:pPr>
              <w:pStyle w:val="CommentText"/>
              <w:tabs>
                <w:tab w:val="left" w:pos="720"/>
                <w:tab w:val="left" w:pos="1440"/>
              </w:tabs>
              <w:ind w:left="720" w:hanging="720"/>
              <w:rPr>
                <w:bCs/>
              </w:rPr>
            </w:pPr>
          </w:p>
          <w:p w:rsidR="00476733" w:rsidRDefault="00476733" w:rsidP="00C455B6">
            <w:pPr>
              <w:pStyle w:val="CommentText"/>
              <w:tabs>
                <w:tab w:val="left" w:pos="720"/>
                <w:tab w:val="left" w:pos="1440"/>
              </w:tabs>
              <w:ind w:left="720" w:hanging="720"/>
              <w:rPr>
                <w:bCs/>
              </w:rPr>
            </w:pPr>
            <w:r>
              <w:rPr>
                <w:bCs/>
              </w:rPr>
              <w:t>A1.</w:t>
            </w:r>
            <w:r>
              <w:rPr>
                <w:bCs/>
              </w:rPr>
              <w:tab/>
              <w:t>The 2016/17 Budget will not be acquiring that land.</w:t>
            </w:r>
          </w:p>
          <w:p w:rsidR="00476733" w:rsidRDefault="00476733" w:rsidP="00C455B6">
            <w:pPr>
              <w:pStyle w:val="CommentText"/>
              <w:tabs>
                <w:tab w:val="left" w:pos="720"/>
                <w:tab w:val="left" w:pos="1440"/>
              </w:tabs>
              <w:ind w:left="720" w:hanging="720"/>
              <w:rPr>
                <w:bCs/>
              </w:rPr>
            </w:pPr>
          </w:p>
          <w:p w:rsidR="00476733" w:rsidRDefault="00476733" w:rsidP="00C455B6">
            <w:pPr>
              <w:pStyle w:val="CommentText"/>
              <w:tabs>
                <w:tab w:val="left" w:pos="720"/>
                <w:tab w:val="left" w:pos="1440"/>
              </w:tabs>
              <w:ind w:left="720" w:hanging="720"/>
              <w:rPr>
                <w:bCs/>
              </w:rPr>
            </w:pPr>
            <w:r>
              <w:rPr>
                <w:bCs/>
              </w:rPr>
              <w:t>Q2.</w:t>
            </w:r>
            <w:r>
              <w:rPr>
                <w:bCs/>
              </w:rPr>
              <w:tab/>
              <w:t>If this is not going to be acquired in 2016/17, when will the City acquire the road reserve on her property?</w:t>
            </w:r>
          </w:p>
          <w:p w:rsidR="00476733" w:rsidRDefault="00476733" w:rsidP="00C455B6">
            <w:pPr>
              <w:pStyle w:val="CommentText"/>
              <w:tabs>
                <w:tab w:val="left" w:pos="720"/>
                <w:tab w:val="left" w:pos="1440"/>
              </w:tabs>
              <w:ind w:left="720" w:hanging="720"/>
              <w:rPr>
                <w:bCs/>
              </w:rPr>
            </w:pPr>
          </w:p>
          <w:p w:rsidR="00476733" w:rsidRDefault="00476733" w:rsidP="00C455B6">
            <w:pPr>
              <w:pStyle w:val="CommentText"/>
              <w:tabs>
                <w:tab w:val="left" w:pos="720"/>
                <w:tab w:val="left" w:pos="1440"/>
              </w:tabs>
              <w:ind w:left="720" w:hanging="720"/>
              <w:rPr>
                <w:bCs/>
              </w:rPr>
            </w:pPr>
            <w:r>
              <w:rPr>
                <w:bCs/>
              </w:rPr>
              <w:t>A2.</w:t>
            </w:r>
            <w:r>
              <w:rPr>
                <w:bCs/>
              </w:rPr>
              <w:tab/>
              <w:t>If Council adopts the Budget and Annual Business Plan, the City will look at the acquisition of land on that project based on the recently published regional road planning document which has an indicative timeframe to construct these roads.</w:t>
            </w:r>
          </w:p>
          <w:p w:rsidR="00476733" w:rsidRDefault="00476733" w:rsidP="00C455B6">
            <w:pPr>
              <w:pStyle w:val="CommentText"/>
              <w:tabs>
                <w:tab w:val="left" w:pos="720"/>
                <w:tab w:val="left" w:pos="1440"/>
              </w:tabs>
              <w:ind w:left="720" w:hanging="720"/>
              <w:rPr>
                <w:bCs/>
              </w:rPr>
            </w:pPr>
          </w:p>
          <w:p w:rsidR="00476733" w:rsidRDefault="00476733" w:rsidP="00C455B6">
            <w:pPr>
              <w:pStyle w:val="CommentText"/>
              <w:tabs>
                <w:tab w:val="left" w:pos="720"/>
                <w:tab w:val="left" w:pos="1440"/>
              </w:tabs>
              <w:ind w:left="720"/>
              <w:rPr>
                <w:bCs/>
              </w:rPr>
            </w:pPr>
            <w:r>
              <w:rPr>
                <w:bCs/>
              </w:rPr>
              <w:t xml:space="preserve">Mayor Howlett advised Mrs </w:t>
            </w:r>
            <w:proofErr w:type="spellStart"/>
            <w:r>
              <w:rPr>
                <w:bCs/>
              </w:rPr>
              <w:t>Gaglia</w:t>
            </w:r>
            <w:proofErr w:type="spellEnd"/>
            <w:r>
              <w:rPr>
                <w:bCs/>
              </w:rPr>
              <w:t xml:space="preserve"> that the City will provide a plan and respond to her in writing with an explanation.</w:t>
            </w:r>
          </w:p>
        </w:tc>
      </w:tr>
    </w:tbl>
    <w:p w:rsidR="00476733" w:rsidRDefault="00476733">
      <w:pPr>
        <w:tabs>
          <w:tab w:val="left" w:pos="720"/>
          <w:tab w:val="left" w:pos="1440"/>
        </w:tabs>
        <w:spacing w:after="480"/>
        <w:ind w:left="720"/>
      </w:pPr>
    </w:p>
    <w:p w:rsidR="00476733" w:rsidRDefault="00476733" w:rsidP="00476733">
      <w:pPr>
        <w:pStyle w:val="AGHEAD1"/>
      </w:pPr>
      <w:bookmarkStart w:id="22" w:name="_Toc454780260"/>
      <w:r>
        <w:t>7.</w:t>
      </w:r>
      <w:r>
        <w:tab/>
        <w:t>DECLARATION BY COUNCILLORS WHO HAVE NOT GIVEN DUE CONSIDERATION TO MATTERS CONTAINED IN THE BUSINESS</w:t>
      </w:r>
      <w:bookmarkEnd w:id="22"/>
    </w:p>
    <w:p w:rsidR="00476733" w:rsidRDefault="00476733" w:rsidP="00476733">
      <w:r>
        <w:tab/>
        <w:t>Nil</w:t>
      </w:r>
    </w:p>
    <w:p w:rsidR="00C455B6" w:rsidRDefault="00C455B6" w:rsidP="00476733"/>
    <w:p w:rsidR="00764CB2" w:rsidRDefault="00764CB2" w:rsidP="00476733"/>
    <w:p w:rsidR="00476733" w:rsidRDefault="00017A3E">
      <w:pPr>
        <w:pStyle w:val="AGHEAD1"/>
      </w:pPr>
      <w:fldSimple w:instr=" MERGEFIELD Item_No ">
        <w:bookmarkStart w:id="23" w:name="_Toc454780261"/>
        <w:r w:rsidR="00476733" w:rsidRPr="00F84341">
          <w:rPr>
            <w:noProof/>
          </w:rPr>
          <w:t>8</w:t>
        </w:r>
      </w:fldSimple>
      <w:r w:rsidR="00476733">
        <w:tab/>
      </w:r>
      <w:r w:rsidR="00476733">
        <w:fldChar w:fldCharType="begin"/>
      </w:r>
      <w:r w:rsidR="00476733">
        <w:instrText xml:space="preserve"> IF </w:instrText>
      </w:r>
      <w:r w:rsidR="00476733">
        <w:fldChar w:fldCharType="begin"/>
      </w:r>
      <w:r w:rsidR="00476733">
        <w:instrText xml:space="preserve"> MERGEFIELD Insert_before_Item_No </w:instrText>
      </w:r>
      <w:r w:rsidR="00476733">
        <w:fldChar w:fldCharType="end"/>
      </w:r>
      <w:r w:rsidR="00476733">
        <w:instrText>= "" "</w:instrText>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&lt;&gt; "" "</w:instrText>
      </w:r>
      <w:r w:rsidR="00476733">
        <w:rPr>
          <w:sz w:val="28"/>
          <w:u w:val="single"/>
        </w:rPr>
        <w:instrText>(MINUTE NO</w:instrText>
      </w:r>
      <w:r w:rsidR="00476733">
        <w:rPr>
          <w:u w:val="single"/>
        </w:rPr>
        <w:instrText xml:space="preserve"> </w:instrText>
      </w:r>
      <w:r w:rsidR="00476733">
        <w:instrText xml:space="preserve">" "" \* Upper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 xml:space="preserve">&lt;&gt; "" </w:instrText>
      </w:r>
      <w:r w:rsidR="00476733">
        <w:rPr>
          <w:b w:val="0"/>
          <w:bCs/>
        </w:rPr>
        <w:instrText>"</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Pr>
          <w:sz w:val="28"/>
          <w:u w:val="single"/>
        </w:rPr>
        <w:instrText>1974</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Minute_No_2 </w:instrText>
      </w:r>
      <w:r w:rsidR="00476733">
        <w:fldChar w:fldCharType="end"/>
      </w:r>
      <w:r w:rsidR="00476733">
        <w:instrText xml:space="preserve">&lt;&gt; "" </w:instrText>
      </w:r>
      <w:r w:rsidR="00476733">
        <w:rPr>
          <w:b w:val="0"/>
          <w:bCs/>
        </w:rPr>
        <w:instrText>"</w:instrText>
      </w:r>
      <w:r w:rsidR="00476733">
        <w:rPr>
          <w:sz w:val="28"/>
          <w:u w:val="single"/>
        </w:rPr>
        <w:instrText xml:space="preserve">, </w:instrText>
      </w:r>
      <w:r w:rsidR="00476733">
        <w:rPr>
          <w:sz w:val="28"/>
          <w:u w:val="single"/>
        </w:rPr>
        <w:fldChar w:fldCharType="begin"/>
      </w:r>
      <w:r w:rsidR="00476733">
        <w:rPr>
          <w:sz w:val="28"/>
          <w:u w:val="single"/>
        </w:rPr>
        <w:instrText xml:space="preserve"> MERGEFIELD Minute_No_2 </w:instrText>
      </w:r>
      <w:r w:rsidR="00476733">
        <w:rPr>
          <w:sz w:val="28"/>
          <w:u w:val="single"/>
        </w:rPr>
        <w:fldChar w:fldCharType="separate"/>
      </w:r>
      <w:r w:rsidR="00476733">
        <w:rPr>
          <w:sz w:val="28"/>
          <w:u w:val="single"/>
        </w:rPr>
        <w:instrText>1993</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Minute_No_3 </w:instrText>
      </w:r>
      <w:r w:rsidR="00476733">
        <w:fldChar w:fldCharType="end"/>
      </w:r>
      <w:r w:rsidR="00476733">
        <w:instrText xml:space="preserve">&lt;&gt; "" </w:instrText>
      </w:r>
      <w:r w:rsidR="00476733">
        <w:rPr>
          <w:b w:val="0"/>
          <w:bCs/>
        </w:rPr>
        <w:instrText>"</w:instrText>
      </w:r>
      <w:r w:rsidR="00476733">
        <w:rPr>
          <w:sz w:val="28"/>
          <w:u w:val="single"/>
        </w:rPr>
        <w:instrText xml:space="preserve">, </w:instrText>
      </w:r>
      <w:r w:rsidR="00476733">
        <w:rPr>
          <w:sz w:val="28"/>
          <w:u w:val="single"/>
        </w:rPr>
        <w:fldChar w:fldCharType="begin"/>
      </w:r>
      <w:r w:rsidR="00476733">
        <w:rPr>
          <w:sz w:val="28"/>
          <w:u w:val="single"/>
        </w:rPr>
        <w:instrText xml:space="preserve"> MERGEFIELD Minute_No_3 </w:instrText>
      </w:r>
      <w:r w:rsidR="00476733">
        <w:rPr>
          <w:sz w:val="28"/>
          <w:u w:val="single"/>
        </w:rPr>
        <w:fldChar w:fldCharType="separate"/>
      </w:r>
      <w:r w:rsidR="00476733">
        <w:rPr>
          <w:sz w:val="28"/>
          <w:u w:val="single"/>
        </w:rPr>
        <w:instrText>1993</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&lt;&gt; "" "</w:instrText>
      </w:r>
      <w:r w:rsidR="00476733">
        <w:rPr>
          <w:u w:val="single"/>
        </w:rPr>
        <w:instrText>)</w:instrText>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 xml:space="preserve">&lt;&gt; "" " " "" </w:instrText>
      </w:r>
      <w:r w:rsidR="00476733">
        <w:fldChar w:fldCharType="end"/>
      </w:r>
      <w:r w:rsidR="00476733">
        <w:instrText>(</w:instrText>
      </w:r>
      <w:fldSimple w:instr=" MERGEFIELD Meeting_Alternate \* Upper ">
        <w:r w:rsidR="00476733" w:rsidRPr="00F84341">
          <w:rPr>
            <w:noProof/>
          </w:rPr>
          <w:instrText>SCM 23/06/2016</w:instrText>
        </w:r>
      </w:fldSimple>
      <w:r w:rsidR="00476733">
        <w:instrText xml:space="preserve">) - </w:instrText>
      </w:r>
      <w:fldSimple w:instr=" MERGEFIELD Subject  \* UPPER ">
        <w:r w:rsidR="00476733" w:rsidRPr="00F84341">
          <w:rPr>
            <w:noProof/>
          </w:rPr>
          <w:instrText>PURPOSE OF MEETING</w:instrText>
        </w:r>
      </w:fldSimple>
      <w:r w:rsidR="00476733">
        <w:instrText>" "</w:instrText>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instrText xml:space="preserve">(MINUTE NO </w:instrText>
      </w:r>
      <w:r w:rsidR="00476733">
        <w:instrText xml:space="preserve">" "" \* Upper  </w:instrText>
      </w:r>
      <w:r w:rsidR="00476733">
        <w:fldChar w:fldCharType="separate"/>
      </w:r>
      <w:r w:rsidR="00476733">
        <w:rPr>
          <w:noProof/>
          <w:sz w:val="28"/>
          <w:u w:val="single"/>
        </w:rPr>
        <w:instrText xml:space="preserve">(MINUTE NO </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fldChar w:fldCharType="begin"/>
      </w:r>
      <w:r w:rsidR="00476733">
        <w:rPr>
          <w:sz w:val="28"/>
          <w:u w:val="single"/>
        </w:rPr>
        <w:instrText xml:space="preserve"> MERGEFIELD Minute_No_2 </w:instrText>
      </w:r>
      <w:r w:rsidR="00476733">
        <w:rPr>
          <w:sz w:val="28"/>
          <w:u w:val="single"/>
        </w:rPr>
        <w:fldChar w:fldCharType="separate"/>
      </w:r>
      <w:r w:rsidR="00476733">
        <w:rPr>
          <w:noProof/>
          <w:sz w:val="28"/>
          <w:u w:val="single"/>
        </w:rPr>
        <w:instrText>«Minute_No_2»</w:instrText>
      </w:r>
      <w:r w:rsidR="00476733">
        <w:rPr>
          <w:sz w:val="28"/>
          <w:u w:val="single"/>
        </w:rPr>
        <w:fldChar w:fldCharType="end"/>
      </w:r>
      <w:r w:rsidR="00476733">
        <w:instrText xml:space="preserve">" "" </w:instrText>
      </w:r>
      <w:r w:rsidR="00476733">
        <w:fldChar w:fldCharType="separate"/>
      </w:r>
      <w:r w:rsidR="00476733">
        <w:rPr>
          <w:noProof/>
          <w:sz w:val="28"/>
          <w:u w:val="single"/>
        </w:rPr>
        <w:instrText>«Minute_No_2»</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instrText>)</w:instrText>
      </w:r>
      <w:r w:rsidR="00476733">
        <w:instrText xml:space="preserve">" "" </w:instrText>
      </w:r>
      <w:r w:rsidR="00476733">
        <w:fldChar w:fldCharType="separate"/>
      </w:r>
      <w:r w:rsidR="00476733">
        <w:rPr>
          <w:noProof/>
          <w:sz w:val="28"/>
          <w:u w:val="single"/>
        </w:rPr>
        <w:instrText>)</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 xml:space="preserve">&lt;&gt; "" " " "" </w:instrText>
      </w:r>
      <w:r w:rsidR="00476733">
        <w:fldChar w:fldCharType="separate"/>
      </w:r>
      <w:r w:rsidR="00476733">
        <w:rPr>
          <w:noProof/>
        </w:rPr>
        <w:instrText xml:space="preserve"> </w:instrText>
      </w:r>
      <w:r w:rsidR="00476733">
        <w:fldChar w:fldCharType="end"/>
      </w:r>
      <w:r w:rsidR="00476733">
        <w:instrText>(</w:instrText>
      </w:r>
      <w:fldSimple w:instr=" MERGEFIELD Meeting_Alternate \* Upper ">
        <w:r w:rsidR="00476733">
          <w:rPr>
            <w:noProof/>
          </w:rPr>
          <w:instrText>«MEETING_ALTERNATE»</w:instrText>
        </w:r>
      </w:fldSimple>
      <w:r w:rsidR="00476733">
        <w:instrText xml:space="preserve">) - </w:instrText>
      </w:r>
      <w:fldSimple w:instr=" MERGEFIELD Subject  \* UPPER ">
        <w:r w:rsidR="00476733">
          <w:rPr>
            <w:noProof/>
          </w:rPr>
          <w:instrText>«SUBJECT»</w:instrText>
        </w:r>
      </w:fldSimple>
      <w:r w:rsidR="00476733">
        <w:instrText xml:space="preserve">" </w:instrText>
      </w:r>
      <w:r w:rsidR="00476733">
        <w:fldChar w:fldCharType="separate"/>
      </w:r>
      <w:r w:rsidR="000D3B8F">
        <w:rPr>
          <w:noProof/>
        </w:rPr>
        <w:t>(</w:t>
      </w:r>
      <w:r w:rsidR="000D3B8F">
        <w:rPr>
          <w:noProof/>
        </w:rPr>
        <w:fldChar w:fldCharType="begin"/>
      </w:r>
      <w:r w:rsidR="000D3B8F">
        <w:rPr>
          <w:noProof/>
        </w:rPr>
        <w:instrText xml:space="preserve"> MERGEFIELD Meeting_Alternate \* Upper </w:instrText>
      </w:r>
      <w:r w:rsidR="000D3B8F">
        <w:rPr>
          <w:noProof/>
        </w:rPr>
        <w:fldChar w:fldCharType="separate"/>
      </w:r>
      <w:r w:rsidR="000D3B8F" w:rsidRPr="00F84341">
        <w:rPr>
          <w:noProof/>
        </w:rPr>
        <w:t>SCM 23/06/2016</w:t>
      </w:r>
      <w:r w:rsidR="000D3B8F">
        <w:rPr>
          <w:noProof/>
        </w:rPr>
        <w:fldChar w:fldCharType="end"/>
      </w:r>
      <w:r w:rsidR="000D3B8F">
        <w:rPr>
          <w:noProof/>
        </w:rPr>
        <w:t xml:space="preserve">) - </w:t>
      </w:r>
      <w:r w:rsidR="000D3B8F">
        <w:rPr>
          <w:noProof/>
        </w:rPr>
        <w:fldChar w:fldCharType="begin"/>
      </w:r>
      <w:r w:rsidR="000D3B8F">
        <w:rPr>
          <w:noProof/>
        </w:rPr>
        <w:instrText xml:space="preserve"> MERGEFIELD Subject  \* UPPER </w:instrText>
      </w:r>
      <w:r w:rsidR="000D3B8F">
        <w:rPr>
          <w:noProof/>
        </w:rPr>
        <w:fldChar w:fldCharType="separate"/>
      </w:r>
      <w:r w:rsidR="000D3B8F" w:rsidRPr="00F84341">
        <w:rPr>
          <w:noProof/>
        </w:rPr>
        <w:t>PURPOSE OF MEETING</w:t>
      </w:r>
      <w:r w:rsidR="000D3B8F">
        <w:rPr>
          <w:noProof/>
        </w:rPr>
        <w:fldChar w:fldCharType="end"/>
      </w:r>
      <w:bookmarkEnd w:id="23"/>
      <w:r w:rsidR="00476733">
        <w:fldChar w:fldCharType="end"/>
      </w:r>
    </w:p>
    <w:tbl>
      <w:tblPr>
        <w:tblW w:w="0" w:type="auto"/>
        <w:tblInd w:w="828" w:type="dxa"/>
        <w:tblLayout w:type="fixed"/>
        <w:tblLook w:val="0000" w:firstRow="0" w:lastRow="0" w:firstColumn="0" w:lastColumn="0" w:noHBand="0" w:noVBand="0"/>
      </w:tblPr>
      <w:tblGrid>
        <w:gridCol w:w="8415"/>
      </w:tblGrid>
      <w:tr w:rsidR="00476733" w:rsidTr="00C455B6">
        <w:tc>
          <w:tcPr>
            <w:tcW w:w="8415" w:type="dxa"/>
          </w:tcPr>
          <w:p w:rsidR="00476733" w:rsidRDefault="00476733">
            <w:pPr>
              <w:pStyle w:val="CommentText"/>
              <w:tabs>
                <w:tab w:val="left" w:pos="720"/>
                <w:tab w:val="left" w:pos="1440"/>
              </w:tabs>
              <w:rPr>
                <w:bCs/>
              </w:rPr>
            </w:pPr>
            <w:r>
              <w:rPr>
                <w:bCs/>
              </w:rPr>
              <w:t>The purpose of the meeting is to adopt:</w:t>
            </w:r>
          </w:p>
          <w:p w:rsidR="00476733" w:rsidRDefault="00476733">
            <w:pPr>
              <w:pStyle w:val="CommentText"/>
              <w:tabs>
                <w:tab w:val="left" w:pos="720"/>
                <w:tab w:val="left" w:pos="1440"/>
              </w:tabs>
              <w:rPr>
                <w:bCs/>
              </w:rPr>
            </w:pPr>
          </w:p>
          <w:p w:rsidR="00476733" w:rsidRDefault="00476733" w:rsidP="00C455B6">
            <w:pPr>
              <w:pStyle w:val="CommentText"/>
              <w:tabs>
                <w:tab w:val="left" w:pos="720"/>
                <w:tab w:val="left" w:pos="1440"/>
              </w:tabs>
              <w:ind w:left="720" w:hanging="720"/>
              <w:rPr>
                <w:bCs/>
              </w:rPr>
            </w:pPr>
            <w:r>
              <w:rPr>
                <w:bCs/>
              </w:rPr>
              <w:t>(1)</w:t>
            </w:r>
            <w:r>
              <w:rPr>
                <w:bCs/>
              </w:rPr>
              <w:tab/>
              <w:t>2016/17 Differential Rates, 2016/17 Municipal Budget  and Schedule of Fees and Charges for the period 1 July 2016 to 30 June 2017; and</w:t>
            </w:r>
          </w:p>
          <w:p w:rsidR="00476733" w:rsidRDefault="00476733" w:rsidP="00C455B6">
            <w:pPr>
              <w:pStyle w:val="CommentText"/>
              <w:tabs>
                <w:tab w:val="left" w:pos="720"/>
                <w:tab w:val="left" w:pos="1440"/>
              </w:tabs>
              <w:ind w:left="720" w:hanging="720"/>
              <w:rPr>
                <w:bCs/>
              </w:rPr>
            </w:pPr>
          </w:p>
          <w:p w:rsidR="00476733" w:rsidRDefault="00476733" w:rsidP="00C455B6">
            <w:pPr>
              <w:pStyle w:val="CommentText"/>
              <w:tabs>
                <w:tab w:val="left" w:pos="720"/>
                <w:tab w:val="left" w:pos="1440"/>
              </w:tabs>
              <w:ind w:left="720" w:hanging="720"/>
              <w:rPr>
                <w:bCs/>
              </w:rPr>
            </w:pPr>
            <w:r>
              <w:rPr>
                <w:bCs/>
              </w:rPr>
              <w:t>(2)</w:t>
            </w:r>
            <w:r>
              <w:rPr>
                <w:bCs/>
              </w:rPr>
              <w:tab/>
              <w:t>2016/17 Annual Business Plan.</w:t>
            </w:r>
          </w:p>
        </w:tc>
      </w:tr>
    </w:tbl>
    <w:p w:rsidR="00476733" w:rsidRDefault="00476733">
      <w:pPr>
        <w:tabs>
          <w:tab w:val="left" w:pos="720"/>
          <w:tab w:val="left" w:pos="1440"/>
        </w:tabs>
        <w:spacing w:after="480"/>
        <w:ind w:left="720"/>
      </w:pPr>
    </w:p>
    <w:p w:rsidR="00476733" w:rsidRDefault="00476733" w:rsidP="00476733">
      <w:pPr>
        <w:pStyle w:val="AGHEAD1"/>
      </w:pPr>
      <w:bookmarkStart w:id="24" w:name="_Toc454780262"/>
      <w:r>
        <w:t>9.</w:t>
      </w:r>
      <w:r>
        <w:tab/>
        <w:t>COUNCIL MATTERS</w:t>
      </w:r>
      <w:bookmarkEnd w:id="24"/>
    </w:p>
    <w:p w:rsidR="00476733" w:rsidRDefault="00476733">
      <w:pPr>
        <w:pStyle w:val="AGHEAD2"/>
      </w:pPr>
      <w:r>
        <w:fldChar w:fldCharType="begin"/>
      </w:r>
      <w:r>
        <w:instrText xml:space="preserve"> MERGEFIELD Item_No </w:instrText>
      </w:r>
      <w:r>
        <w:fldChar w:fldCharType="separate"/>
      </w:r>
      <w:bookmarkStart w:id="25" w:name="_Toc454780263"/>
      <w:r w:rsidRPr="002829BC">
        <w:t>9.1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829BC">
        <w:rPr>
          <w:sz w:val="28"/>
        </w:rPr>
        <w:instrText>5825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3B8F">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2829BC">
        <w:rPr>
          <w:sz w:val="28"/>
        </w:rPr>
        <w:instrText>5825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2829BC">
        <w:rPr>
          <w:sz w:val="28"/>
          <w:u w:val="single"/>
        </w:rPr>
        <w:instrText>5825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2829BC">
        <w:rPr>
          <w:sz w:val="28"/>
          <w:u w:val="single"/>
        </w:rPr>
        <w:instrText>5825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2829BC">
        <w:instrText>SCM 23/06/2016</w:instrText>
      </w:r>
      <w:r>
        <w:fldChar w:fldCharType="end"/>
      </w:r>
      <w:r>
        <w:instrText xml:space="preserve">) - </w:instrText>
      </w:r>
      <w:r>
        <w:fldChar w:fldCharType="begin"/>
      </w:r>
      <w:r>
        <w:instrText xml:space="preserve"> MERGEFIELD Subject  \* UPPER </w:instrText>
      </w:r>
      <w:r>
        <w:fldChar w:fldCharType="separate"/>
      </w:r>
      <w:r w:rsidRPr="002829BC">
        <w:instrText>ANNUAL BUSINESS PLAN 2016/170  (021/002)  (M TOBIN)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3B8F">
        <w:rPr>
          <w:sz w:val="28"/>
          <w:u w:val="single"/>
        </w:rPr>
        <w:t xml:space="preserve">(MINUTE NO </w:t>
      </w:r>
      <w:r w:rsidR="000D3B8F">
        <w:rPr>
          <w:sz w:val="28"/>
          <w:u w:val="single"/>
        </w:rPr>
        <w:fldChar w:fldCharType="begin"/>
      </w:r>
      <w:r w:rsidR="000D3B8F">
        <w:rPr>
          <w:sz w:val="28"/>
          <w:u w:val="single"/>
        </w:rPr>
        <w:instrText xml:space="preserve"> MERGEFIELD Minute_No_1 </w:instrText>
      </w:r>
      <w:r w:rsidR="000D3B8F">
        <w:rPr>
          <w:sz w:val="28"/>
          <w:u w:val="single"/>
        </w:rPr>
        <w:fldChar w:fldCharType="separate"/>
      </w:r>
      <w:r w:rsidR="000D3B8F" w:rsidRPr="002829BC">
        <w:rPr>
          <w:sz w:val="28"/>
          <w:u w:val="single"/>
        </w:rPr>
        <w:t>5825</w:t>
      </w:r>
      <w:r w:rsidR="000D3B8F">
        <w:rPr>
          <w:sz w:val="28"/>
          <w:u w:val="single"/>
        </w:rPr>
        <w:fldChar w:fldCharType="end"/>
      </w:r>
      <w:r w:rsidR="000D3B8F">
        <w:rPr>
          <w:sz w:val="28"/>
          <w:u w:val="single"/>
        </w:rPr>
        <w:t>)</w:t>
      </w:r>
      <w:r w:rsidR="000D3B8F">
        <w:rPr>
          <w:sz w:val="28"/>
        </w:rPr>
        <w:t xml:space="preserve"> </w:t>
      </w:r>
      <w:r w:rsidR="000D3B8F">
        <w:t>(</w:t>
      </w:r>
      <w:r w:rsidR="000D3B8F">
        <w:fldChar w:fldCharType="begin"/>
      </w:r>
      <w:r w:rsidR="000D3B8F">
        <w:instrText xml:space="preserve"> MERGEFIELD Meeting_Alternate \* Upper </w:instrText>
      </w:r>
      <w:r w:rsidR="000D3B8F">
        <w:fldChar w:fldCharType="separate"/>
      </w:r>
      <w:r w:rsidR="000D3B8F" w:rsidRPr="002829BC">
        <w:t>SCM 23/06/2016</w:t>
      </w:r>
      <w:r w:rsidR="000D3B8F">
        <w:fldChar w:fldCharType="end"/>
      </w:r>
      <w:r w:rsidR="000D3B8F">
        <w:t xml:space="preserve">) - </w:t>
      </w:r>
      <w:r w:rsidR="000D3B8F">
        <w:fldChar w:fldCharType="begin"/>
      </w:r>
      <w:r w:rsidR="000D3B8F">
        <w:instrText xml:space="preserve"> MERGEFIELD Subject  \* UPPER </w:instrText>
      </w:r>
      <w:r w:rsidR="000D3B8F">
        <w:fldChar w:fldCharType="separate"/>
      </w:r>
      <w:r w:rsidR="000D3B8F" w:rsidRPr="002829BC">
        <w:t>ANNUAL BUSINESS PLAN 2016/170  (021/002)  (M TOBIN)  (ATTACH)</w:t>
      </w:r>
      <w:r w:rsidR="000D3B8F">
        <w:fldChar w:fldCharType="end"/>
      </w:r>
      <w:bookmarkEnd w:id="25"/>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tc>
          <w:tcPr>
            <w:tcW w:w="7785" w:type="dxa"/>
          </w:tcPr>
          <w:p w:rsidR="00476733" w:rsidRDefault="00476733">
            <w:pPr>
              <w:tabs>
                <w:tab w:val="left" w:pos="720"/>
                <w:tab w:val="left" w:pos="1440"/>
              </w:tabs>
            </w:pPr>
            <w:r>
              <w:rPr>
                <w:b/>
              </w:rPr>
              <w:t>RECOMMENDATION</w:t>
            </w:r>
          </w:p>
          <w:p w:rsidR="00476733" w:rsidRPr="00F150A0" w:rsidRDefault="00476733">
            <w:pPr>
              <w:rPr>
                <w:rFonts w:cs="Arial"/>
              </w:rPr>
            </w:pPr>
            <w:r>
              <w:t xml:space="preserve">That </w:t>
            </w:r>
            <w:bookmarkStart w:id="26" w:name="INSERTED_AM_DOC_Additional_Doc_1"/>
            <w:r>
              <w:fldChar w:fldCharType="begin"/>
            </w:r>
            <w:r>
              <w:instrText xml:space="preserve"> INCLUDETEXT Z:\\Users\\bernie\\AppData\\Local\\Temp\\bernie\\13535.docx </w:instrText>
            </w:r>
            <w:r>
              <w:fldChar w:fldCharType="separate"/>
            </w:r>
            <w:r>
              <w:rPr>
                <w:rFonts w:cs="Arial"/>
              </w:rPr>
              <w:t>Council adopt the proposed Annual Business Plan 2016/17, as attached to the Agenda.</w:t>
            </w:r>
          </w:p>
          <w:p w:rsidR="00476733" w:rsidRDefault="00476733" w:rsidP="00C455B6">
            <w:r>
              <w:fldChar w:fldCharType="end"/>
            </w:r>
            <w:bookmarkEnd w:id="26"/>
          </w:p>
          <w:p w:rsidR="00476733" w:rsidRDefault="00476733">
            <w:pPr>
              <w:pStyle w:val="CommentText"/>
              <w:tabs>
                <w:tab w:val="left" w:pos="720"/>
                <w:tab w:val="left" w:pos="1440"/>
              </w:tabs>
              <w:rPr>
                <w:bCs/>
              </w:rPr>
            </w:pPr>
          </w:p>
        </w:tc>
      </w:tr>
    </w:tbl>
    <w:p w:rsidR="00476733" w:rsidRDefault="00476733">
      <w:pPr>
        <w:tabs>
          <w:tab w:val="left" w:pos="720"/>
          <w:tab w:val="left" w:pos="1440"/>
        </w:tabs>
        <w:ind w:left="1440"/>
      </w:pPr>
    </w:p>
    <w:p w:rsidR="00476733" w:rsidRDefault="00476733">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tc>
          <w:tcPr>
            <w:tcW w:w="7785" w:type="dxa"/>
          </w:tcPr>
          <w:p w:rsidR="00476733" w:rsidRDefault="00476733">
            <w:pPr>
              <w:tabs>
                <w:tab w:val="left" w:pos="720"/>
                <w:tab w:val="left" w:pos="1440"/>
              </w:tabs>
              <w:rPr>
                <w:rFonts w:cs="Arial"/>
                <w:noProof/>
                <w:sz w:val="22"/>
                <w:lang w:val="en-US"/>
              </w:rPr>
            </w:pPr>
            <w:r>
              <w:rPr>
                <w:b/>
              </w:rPr>
              <w:t>COUNCIL DECISION</w:t>
            </w:r>
          </w:p>
          <w:p w:rsidR="00476733" w:rsidRPr="00F150A0" w:rsidRDefault="00476733">
            <w:pPr>
              <w:rPr>
                <w:rFonts w:cs="Arial"/>
              </w:rPr>
            </w:pPr>
            <w:r>
              <w:rPr>
                <w:noProof/>
                <w:lang w:val="en-US"/>
              </w:rPr>
              <w:t xml:space="preserve">MOVED </w:t>
            </w:r>
            <w:r w:rsidRPr="002829BC">
              <w:rPr>
                <w:noProof/>
                <w:lang w:val="en-US"/>
              </w:rPr>
              <w:t>Clr</w:t>
            </w:r>
            <w:r>
              <w:rPr>
                <w:noProof/>
                <w:lang w:val="en-US"/>
              </w:rPr>
              <w:t xml:space="preserve"> </w:t>
            </w:r>
            <w:r w:rsidRPr="002829BC">
              <w:rPr>
                <w:noProof/>
                <w:lang w:val="en-US"/>
              </w:rPr>
              <w:t>P Eva</w:t>
            </w:r>
            <w:r>
              <w:rPr>
                <w:noProof/>
                <w:lang w:val="en-US"/>
              </w:rPr>
              <w:t xml:space="preserve"> SECONDED </w:t>
            </w:r>
            <w:r w:rsidRPr="002829BC">
              <w:rPr>
                <w:noProof/>
                <w:lang w:val="en-US"/>
              </w:rPr>
              <w:t>Clr</w:t>
            </w:r>
            <w:r>
              <w:rPr>
                <w:noProof/>
                <w:lang w:val="en-US"/>
              </w:rPr>
              <w:t xml:space="preserve"> </w:t>
            </w:r>
            <w:r w:rsidRPr="002829BC">
              <w:rPr>
                <w:noProof/>
                <w:lang w:val="en-US"/>
              </w:rPr>
              <w:t>L Sweetman</w:t>
            </w:r>
            <w:r>
              <w:rPr>
                <w:noProof/>
                <w:lang w:val="en-US"/>
              </w:rPr>
              <w:t xml:space="preserve"> that </w:t>
            </w:r>
            <w:r>
              <w:rPr>
                <w:rFonts w:cs="Arial"/>
              </w:rPr>
              <w:t>the recommendation be adopted.</w:t>
            </w:r>
          </w:p>
          <w:p w:rsidR="00476733" w:rsidRDefault="00476733">
            <w:pPr>
              <w:tabs>
                <w:tab w:val="left" w:pos="720"/>
                <w:tab w:val="left" w:pos="1440"/>
              </w:tabs>
              <w:rPr>
                <w:rFonts w:cs="Arial"/>
                <w:noProof/>
                <w:sz w:val="22"/>
                <w:lang w:val="en-US"/>
              </w:rPr>
            </w:pPr>
          </w:p>
          <w:p w:rsidR="00476733" w:rsidRDefault="00476733">
            <w:pPr>
              <w:pStyle w:val="CommentText"/>
              <w:tabs>
                <w:tab w:val="left" w:pos="720"/>
                <w:tab w:val="left" w:pos="1440"/>
              </w:tabs>
              <w:jc w:val="right"/>
              <w:rPr>
                <w:noProof/>
                <w:lang w:val="en-US"/>
              </w:rPr>
            </w:pPr>
            <w:r w:rsidRPr="002829BC">
              <w:rPr>
                <w:b/>
                <w:bCs/>
                <w:noProof/>
                <w:u w:val="single"/>
                <w:lang w:val="en-US"/>
              </w:rPr>
              <w:t>CARRIED</w:t>
            </w:r>
            <w:r>
              <w:rPr>
                <w:b/>
                <w:bCs/>
                <w:noProof/>
                <w:u w:val="single"/>
                <w:lang w:val="en-US"/>
              </w:rPr>
              <w:t xml:space="preserve"> </w:t>
            </w:r>
            <w:r w:rsidRPr="002829BC">
              <w:rPr>
                <w:b/>
                <w:bCs/>
                <w:noProof/>
                <w:u w:val="single"/>
                <w:lang w:val="en-US"/>
              </w:rPr>
              <w:t>8/0</w:t>
            </w:r>
          </w:p>
          <w:p w:rsidR="00476733" w:rsidRDefault="00476733">
            <w:pPr>
              <w:tabs>
                <w:tab w:val="left" w:pos="720"/>
                <w:tab w:val="left" w:pos="1440"/>
              </w:tabs>
              <w:jc w:val="right"/>
            </w:pPr>
          </w:p>
        </w:tc>
      </w:tr>
    </w:tbl>
    <w:p w:rsidR="00476733" w:rsidRDefault="00476733">
      <w:pPr>
        <w:tabs>
          <w:tab w:val="left" w:pos="720"/>
          <w:tab w:val="left" w:pos="1440"/>
        </w:tabs>
        <w:ind w:left="1440"/>
      </w:pPr>
    </w:p>
    <w:p w:rsidR="00476733" w:rsidRDefault="00476733">
      <w:pPr>
        <w:tabs>
          <w:tab w:val="left" w:pos="720"/>
          <w:tab w:val="left" w:pos="1440"/>
        </w:tabs>
        <w:ind w:left="1440" w:right="-45"/>
      </w:pPr>
      <w:r>
        <w:rPr>
          <w:b/>
        </w:rPr>
        <w:t>Background</w:t>
      </w:r>
    </w:p>
    <w:p w:rsidR="00476733" w:rsidRDefault="00476733">
      <w:pPr>
        <w:tabs>
          <w:tab w:val="left" w:pos="720"/>
          <w:tab w:val="left" w:pos="1440"/>
        </w:tabs>
        <w:ind w:left="1440"/>
      </w:pPr>
    </w:p>
    <w:p w:rsidR="00476733" w:rsidRPr="005543C6" w:rsidRDefault="00476733" w:rsidP="00C455B6">
      <w:pPr>
        <w:autoSpaceDE w:val="0"/>
        <w:autoSpaceDN w:val="0"/>
        <w:adjustRightInd w:val="0"/>
        <w:ind w:left="1440"/>
        <w:rPr>
          <w:rFonts w:cs="Arial"/>
          <w:szCs w:val="24"/>
        </w:rPr>
      </w:pPr>
      <w:r w:rsidRPr="005543C6">
        <w:rPr>
          <w:rFonts w:cs="Arial"/>
          <w:szCs w:val="24"/>
        </w:rPr>
        <w:t xml:space="preserve">Since 2006/07, the City has produced an Annual Business Plan to set the direction for a year of activities.  It ties the objectives of the Strategic Community Plan and the activities listed in the Corporate Business </w:t>
      </w:r>
      <w:r>
        <w:rPr>
          <w:rFonts w:cs="Arial"/>
          <w:szCs w:val="24"/>
        </w:rPr>
        <w:t>P</w:t>
      </w:r>
      <w:r w:rsidRPr="005543C6">
        <w:rPr>
          <w:rFonts w:cs="Arial"/>
          <w:szCs w:val="24"/>
        </w:rPr>
        <w:t>lan to the activities and services delivered by Business and Service Units. It is not a legislative requirement</w:t>
      </w:r>
      <w:r>
        <w:rPr>
          <w:rFonts w:cs="Arial"/>
          <w:szCs w:val="24"/>
        </w:rPr>
        <w:t xml:space="preserve"> but it amplifies a level of information associated with the Budget papers.</w:t>
      </w:r>
    </w:p>
    <w:p w:rsidR="00476733" w:rsidRPr="00C30296" w:rsidRDefault="00476733" w:rsidP="00C455B6">
      <w:pPr>
        <w:autoSpaceDE w:val="0"/>
        <w:autoSpaceDN w:val="0"/>
        <w:adjustRightInd w:val="0"/>
        <w:ind w:left="720" w:firstLine="720"/>
        <w:rPr>
          <w:rFonts w:cs="Arial"/>
          <w:szCs w:val="24"/>
        </w:rPr>
      </w:pPr>
    </w:p>
    <w:p w:rsidR="00476733" w:rsidRDefault="00476733" w:rsidP="00C455B6">
      <w:pPr>
        <w:tabs>
          <w:tab w:val="left" w:pos="720"/>
          <w:tab w:val="left" w:pos="1440"/>
        </w:tabs>
        <w:ind w:left="1440"/>
      </w:pPr>
      <w:r w:rsidRPr="005543C6">
        <w:t>The Annual Business Plan is submitted to show more information about the first year of activities referred to in the Corporate Business Plan.  The budget for 2016/17 is based on the activity described in the Annual Business Plan and is the subject of a separate report.</w:t>
      </w:r>
    </w:p>
    <w:p w:rsidR="00476733" w:rsidRDefault="00476733">
      <w:pPr>
        <w:tabs>
          <w:tab w:val="left" w:pos="720"/>
          <w:tab w:val="left" w:pos="1440"/>
        </w:tabs>
        <w:ind w:left="1440"/>
      </w:pPr>
    </w:p>
    <w:p w:rsidR="00476733" w:rsidRDefault="00476733">
      <w:pPr>
        <w:tabs>
          <w:tab w:val="left" w:pos="720"/>
          <w:tab w:val="left" w:pos="1440"/>
        </w:tabs>
        <w:ind w:left="1440"/>
      </w:pPr>
      <w:r>
        <w:rPr>
          <w:b/>
        </w:rPr>
        <w:t>Submission</w:t>
      </w:r>
    </w:p>
    <w:p w:rsidR="00476733" w:rsidRDefault="00476733">
      <w:pPr>
        <w:tabs>
          <w:tab w:val="left" w:pos="720"/>
          <w:tab w:val="left" w:pos="1440"/>
        </w:tabs>
        <w:ind w:left="1440"/>
      </w:pPr>
    </w:p>
    <w:p w:rsidR="00476733" w:rsidRDefault="00476733">
      <w:pPr>
        <w:ind w:left="1440"/>
      </w:pPr>
      <w:r>
        <w:t>N/A</w:t>
      </w:r>
    </w:p>
    <w:p w:rsidR="00476733" w:rsidRDefault="00476733">
      <w:pPr>
        <w:tabs>
          <w:tab w:val="left" w:pos="720"/>
          <w:tab w:val="left" w:pos="1440"/>
        </w:tabs>
        <w:ind w:left="1440"/>
      </w:pPr>
    </w:p>
    <w:p w:rsidR="00764CB2" w:rsidRDefault="00764CB2">
      <w:pPr>
        <w:tabs>
          <w:tab w:val="left" w:pos="720"/>
          <w:tab w:val="left" w:pos="1440"/>
        </w:tabs>
        <w:ind w:left="1440"/>
      </w:pPr>
    </w:p>
    <w:p w:rsidR="00764CB2" w:rsidRDefault="00764CB2">
      <w:pPr>
        <w:tabs>
          <w:tab w:val="left" w:pos="720"/>
          <w:tab w:val="left" w:pos="1440"/>
        </w:tabs>
        <w:ind w:left="1440"/>
      </w:pPr>
    </w:p>
    <w:p w:rsidR="00476733" w:rsidRDefault="00476733">
      <w:pPr>
        <w:tabs>
          <w:tab w:val="left" w:pos="720"/>
          <w:tab w:val="left" w:pos="1440"/>
        </w:tabs>
        <w:ind w:left="1440"/>
      </w:pPr>
      <w:r>
        <w:rPr>
          <w:b/>
        </w:rPr>
        <w:lastRenderedPageBreak/>
        <w:t>Report</w:t>
      </w:r>
    </w:p>
    <w:p w:rsidR="00476733" w:rsidRDefault="00476733">
      <w:pPr>
        <w:tabs>
          <w:tab w:val="left" w:pos="720"/>
          <w:tab w:val="left" w:pos="1440"/>
        </w:tabs>
        <w:ind w:left="1440"/>
      </w:pPr>
    </w:p>
    <w:p w:rsidR="00476733" w:rsidRPr="005543C6" w:rsidRDefault="00476733" w:rsidP="00C455B6">
      <w:pPr>
        <w:autoSpaceDE w:val="0"/>
        <w:autoSpaceDN w:val="0"/>
        <w:adjustRightInd w:val="0"/>
        <w:ind w:left="1440"/>
        <w:rPr>
          <w:rFonts w:cs="Arial"/>
          <w:szCs w:val="24"/>
        </w:rPr>
      </w:pPr>
      <w:r w:rsidRPr="005543C6">
        <w:rPr>
          <w:rFonts w:cs="Arial"/>
          <w:szCs w:val="24"/>
        </w:rPr>
        <w:t xml:space="preserve">An Annual Business Plan is not required by legislation but has been produced since 2006/07 following the introduction of the 2006 iteration of the Strategic Plan. </w:t>
      </w:r>
      <w:r>
        <w:rPr>
          <w:rFonts w:cs="Arial"/>
          <w:szCs w:val="24"/>
        </w:rPr>
        <w:t xml:space="preserve">It </w:t>
      </w:r>
      <w:r w:rsidRPr="007A5420">
        <w:rPr>
          <w:rFonts w:cs="Arial"/>
          <w:szCs w:val="24"/>
        </w:rPr>
        <w:t xml:space="preserve">is the first year of our new ten year Strategic Community Plan 2016–2026 and four year Corporate Business Plan 2016/17–2019/20.  </w:t>
      </w:r>
      <w:r w:rsidRPr="005543C6">
        <w:rPr>
          <w:rFonts w:cs="Arial"/>
          <w:szCs w:val="24"/>
        </w:rPr>
        <w:t xml:space="preserve">It sets out </w:t>
      </w:r>
      <w:r>
        <w:rPr>
          <w:rFonts w:cs="Arial"/>
          <w:szCs w:val="24"/>
        </w:rPr>
        <w:t>more detail on t</w:t>
      </w:r>
      <w:r w:rsidRPr="005543C6">
        <w:rPr>
          <w:rFonts w:cs="Arial"/>
          <w:szCs w:val="24"/>
        </w:rPr>
        <w:t>he activities to be undertaken by the City during the year.</w:t>
      </w:r>
    </w:p>
    <w:p w:rsidR="00476733" w:rsidRDefault="00476733" w:rsidP="00C455B6">
      <w:pPr>
        <w:autoSpaceDE w:val="0"/>
        <w:autoSpaceDN w:val="0"/>
        <w:adjustRightInd w:val="0"/>
        <w:ind w:left="1440"/>
        <w:rPr>
          <w:rFonts w:cs="Arial"/>
          <w:szCs w:val="24"/>
        </w:rPr>
      </w:pPr>
    </w:p>
    <w:p w:rsidR="00476733" w:rsidRDefault="00476733" w:rsidP="00C455B6">
      <w:pPr>
        <w:autoSpaceDE w:val="0"/>
        <w:autoSpaceDN w:val="0"/>
        <w:adjustRightInd w:val="0"/>
        <w:ind w:left="1440"/>
        <w:rPr>
          <w:rFonts w:cs="Arial"/>
          <w:szCs w:val="24"/>
        </w:rPr>
      </w:pPr>
      <w:r w:rsidRPr="007A5420">
        <w:rPr>
          <w:rFonts w:cs="Arial"/>
          <w:szCs w:val="24"/>
        </w:rPr>
        <w:t xml:space="preserve">In the Annual Business Plan, </w:t>
      </w:r>
      <w:r>
        <w:rPr>
          <w:rFonts w:cs="Arial"/>
          <w:szCs w:val="24"/>
        </w:rPr>
        <w:t xml:space="preserve">there are </w:t>
      </w:r>
      <w:r w:rsidRPr="007A5420">
        <w:rPr>
          <w:rFonts w:cs="Arial"/>
          <w:szCs w:val="24"/>
        </w:rPr>
        <w:t xml:space="preserve">two significant areas of business change for the City.  </w:t>
      </w:r>
      <w:r>
        <w:rPr>
          <w:rFonts w:cs="Arial"/>
          <w:szCs w:val="24"/>
        </w:rPr>
        <w:t xml:space="preserve">Firstly, </w:t>
      </w:r>
      <w:r w:rsidRPr="007A5562">
        <w:rPr>
          <w:rFonts w:cs="Arial"/>
          <w:szCs w:val="24"/>
        </w:rPr>
        <w:t xml:space="preserve">the City assumes responsibility for management of the Port Coogee Marina on 24 July 2016.  This includes </w:t>
      </w:r>
      <w:r>
        <w:rPr>
          <w:rFonts w:cs="Arial"/>
          <w:szCs w:val="24"/>
        </w:rPr>
        <w:t xml:space="preserve">all marina infrastructure including </w:t>
      </w:r>
      <w:r w:rsidRPr="007A5562">
        <w:rPr>
          <w:rFonts w:cs="Arial"/>
          <w:szCs w:val="24"/>
        </w:rPr>
        <w:t xml:space="preserve">pens, jetties, fuel facilities, </w:t>
      </w:r>
      <w:r>
        <w:rPr>
          <w:rFonts w:cs="Arial"/>
          <w:szCs w:val="24"/>
        </w:rPr>
        <w:t xml:space="preserve">a </w:t>
      </w:r>
      <w:r w:rsidRPr="007A5562">
        <w:rPr>
          <w:rFonts w:cs="Arial"/>
          <w:szCs w:val="24"/>
        </w:rPr>
        <w:t xml:space="preserve">marina services building, breakwaters, sea walls and the general waterway. Marina management is a completely new business for the City but is supported with a comprehensive business plan and new revenue streams which will support </w:t>
      </w:r>
      <w:r>
        <w:rPr>
          <w:rFonts w:cs="Arial"/>
          <w:szCs w:val="24"/>
        </w:rPr>
        <w:t xml:space="preserve">its </w:t>
      </w:r>
      <w:r w:rsidRPr="007A5562">
        <w:rPr>
          <w:rFonts w:cs="Arial"/>
          <w:szCs w:val="24"/>
        </w:rPr>
        <w:t>ongoing development.</w:t>
      </w:r>
      <w:r>
        <w:rPr>
          <w:rFonts w:cs="Arial"/>
          <w:szCs w:val="24"/>
        </w:rPr>
        <w:t xml:space="preserve"> </w:t>
      </w:r>
      <w:r w:rsidRPr="007A5562">
        <w:rPr>
          <w:rFonts w:cs="Arial"/>
          <w:szCs w:val="24"/>
        </w:rPr>
        <w:t xml:space="preserve">Secondly, early 2017 the City will see the opening of Cockburn ARC, our regional leisure facility at Cockburn Central West.  This will correspond with the closure of the South Lake Leisure Centre as staff and some equipment are transferred to the new facility.  </w:t>
      </w:r>
    </w:p>
    <w:p w:rsidR="00476733" w:rsidRDefault="00476733" w:rsidP="00C455B6">
      <w:pPr>
        <w:autoSpaceDE w:val="0"/>
        <w:autoSpaceDN w:val="0"/>
        <w:adjustRightInd w:val="0"/>
        <w:ind w:left="1440"/>
        <w:rPr>
          <w:rFonts w:cs="Arial"/>
          <w:szCs w:val="24"/>
        </w:rPr>
      </w:pPr>
    </w:p>
    <w:p w:rsidR="00476733" w:rsidRDefault="00476733" w:rsidP="00C455B6">
      <w:pPr>
        <w:autoSpaceDE w:val="0"/>
        <w:autoSpaceDN w:val="0"/>
        <w:adjustRightInd w:val="0"/>
        <w:ind w:left="1440"/>
        <w:rPr>
          <w:rFonts w:cs="Arial"/>
          <w:szCs w:val="24"/>
        </w:rPr>
      </w:pPr>
      <w:r>
        <w:rPr>
          <w:rFonts w:cs="Arial"/>
          <w:szCs w:val="24"/>
        </w:rPr>
        <w:t xml:space="preserve">This year the Annual Business Plan shows the new organisational structure approved by Council last year.  This means that there are new Business and Service Units and some Business Units have been renamed to reflect their main focus.  </w:t>
      </w:r>
    </w:p>
    <w:p w:rsidR="00476733" w:rsidRDefault="00476733" w:rsidP="00C455B6">
      <w:pPr>
        <w:autoSpaceDE w:val="0"/>
        <w:autoSpaceDN w:val="0"/>
        <w:adjustRightInd w:val="0"/>
        <w:ind w:left="1440"/>
        <w:rPr>
          <w:rFonts w:cs="Arial"/>
          <w:szCs w:val="24"/>
        </w:rPr>
      </w:pPr>
    </w:p>
    <w:p w:rsidR="00476733" w:rsidRDefault="00476733" w:rsidP="00C455B6">
      <w:pPr>
        <w:tabs>
          <w:tab w:val="left" w:pos="720"/>
          <w:tab w:val="left" w:pos="1440"/>
        </w:tabs>
        <w:ind w:left="1440"/>
      </w:pPr>
      <w:r>
        <w:rPr>
          <w:rFonts w:cs="Arial"/>
          <w:szCs w:val="24"/>
        </w:rPr>
        <w:t xml:space="preserve">The Annual Business Plan </w:t>
      </w:r>
      <w:r w:rsidRPr="007A5420">
        <w:rPr>
          <w:rFonts w:cs="Arial"/>
          <w:szCs w:val="24"/>
        </w:rPr>
        <w:t xml:space="preserve">2016/17 </w:t>
      </w:r>
      <w:r>
        <w:rPr>
          <w:rFonts w:cs="Arial"/>
          <w:szCs w:val="24"/>
        </w:rPr>
        <w:t>also includes a summary of income and expenditure information.  Budgets, Key Performance Indicators and targets are included in tables for each Business or Service Unit.</w:t>
      </w:r>
    </w:p>
    <w:p w:rsidR="00476733" w:rsidRDefault="00476733">
      <w:pPr>
        <w:tabs>
          <w:tab w:val="left" w:pos="720"/>
          <w:tab w:val="left" w:pos="1440"/>
        </w:tabs>
        <w:ind w:left="1440"/>
      </w:pPr>
    </w:p>
    <w:p w:rsidR="00476733" w:rsidRDefault="00476733">
      <w:pPr>
        <w:tabs>
          <w:tab w:val="left" w:pos="720"/>
          <w:tab w:val="left" w:pos="1440"/>
        </w:tabs>
        <w:ind w:left="1440"/>
      </w:pPr>
      <w:r>
        <w:rPr>
          <w:b/>
        </w:rPr>
        <w:t>Strategic Plan/Policy Implications</w:t>
      </w:r>
    </w:p>
    <w:p w:rsidR="00476733" w:rsidRDefault="00476733">
      <w:pPr>
        <w:tabs>
          <w:tab w:val="left" w:pos="720"/>
          <w:tab w:val="left" w:pos="1440"/>
        </w:tabs>
        <w:ind w:left="1440"/>
      </w:pPr>
    </w:p>
    <w:p w:rsidR="00476733" w:rsidRPr="009205ED" w:rsidRDefault="00476733" w:rsidP="00C455B6">
      <w:pPr>
        <w:ind w:left="1440"/>
      </w:pPr>
      <w:r w:rsidRPr="00BE104E">
        <w:rPr>
          <w:rFonts w:ascii="Bookman Old Style" w:hAnsi="Bookman Old Style"/>
          <w:i/>
        </w:rPr>
        <w:t>City Growth</w:t>
      </w:r>
      <w:r w:rsidRPr="009205ED">
        <w:t xml:space="preserve"> - Plan for population growth of our City and maintaining our strong financial position </w:t>
      </w:r>
    </w:p>
    <w:p w:rsidR="00476733" w:rsidRPr="009205ED" w:rsidRDefault="00476733" w:rsidP="00C455B6">
      <w:pPr>
        <w:ind w:left="1440"/>
      </w:pPr>
    </w:p>
    <w:p w:rsidR="00476733" w:rsidRPr="009205ED" w:rsidRDefault="00476733" w:rsidP="00C455B6">
      <w:pPr>
        <w:ind w:left="1440"/>
      </w:pPr>
      <w:r w:rsidRPr="00BE104E">
        <w:rPr>
          <w:rFonts w:ascii="Bookman Old Style" w:hAnsi="Bookman Old Style"/>
          <w:i/>
        </w:rPr>
        <w:t>Moving Around</w:t>
      </w:r>
      <w:r w:rsidRPr="009205ED">
        <w:t xml:space="preserve"> - Facilitate safe, efficient, connected and sustainable movement around the City</w:t>
      </w:r>
    </w:p>
    <w:p w:rsidR="00476733" w:rsidRPr="009205ED" w:rsidRDefault="00476733" w:rsidP="00C455B6">
      <w:pPr>
        <w:ind w:left="1440"/>
      </w:pPr>
    </w:p>
    <w:p w:rsidR="00476733" w:rsidRPr="009205ED" w:rsidRDefault="00476733" w:rsidP="00C455B6">
      <w:pPr>
        <w:ind w:left="1440"/>
      </w:pPr>
      <w:r w:rsidRPr="00BE104E">
        <w:rPr>
          <w:rFonts w:ascii="Bookman Old Style" w:hAnsi="Bookman Old Style"/>
          <w:i/>
        </w:rPr>
        <w:t>Community, Lifestyle and Security</w:t>
      </w:r>
      <w:r w:rsidRPr="009205ED">
        <w:t xml:space="preserve"> - Provide safe, attractive, healthy programs and infrastructure for a diverse range of activity and people </w:t>
      </w:r>
    </w:p>
    <w:p w:rsidR="00476733" w:rsidRPr="009205ED" w:rsidRDefault="00476733" w:rsidP="00C455B6">
      <w:pPr>
        <w:ind w:left="1440"/>
      </w:pPr>
    </w:p>
    <w:p w:rsidR="00476733" w:rsidRPr="009205ED" w:rsidRDefault="00476733" w:rsidP="00C455B6">
      <w:pPr>
        <w:ind w:left="1440"/>
      </w:pPr>
      <w:r w:rsidRPr="00BE104E">
        <w:rPr>
          <w:rFonts w:ascii="Bookman Old Style" w:hAnsi="Bookman Old Style"/>
          <w:i/>
        </w:rPr>
        <w:t>Economic, Social and Environmental Responsibility</w:t>
      </w:r>
      <w:r w:rsidRPr="009205ED">
        <w:t xml:space="preserve"> - Enable a sustainable future economically, socially and environmentally including business activity, job opportunities and sustainable use of resources</w:t>
      </w:r>
    </w:p>
    <w:p w:rsidR="00476733" w:rsidRPr="009205ED" w:rsidRDefault="00476733" w:rsidP="00C455B6">
      <w:pPr>
        <w:ind w:left="1440"/>
      </w:pPr>
    </w:p>
    <w:p w:rsidR="00476733" w:rsidRDefault="00476733" w:rsidP="00C455B6">
      <w:pPr>
        <w:tabs>
          <w:tab w:val="left" w:pos="720"/>
          <w:tab w:val="left" w:pos="1440"/>
        </w:tabs>
        <w:ind w:left="1440"/>
      </w:pPr>
      <w:r w:rsidRPr="00BE104E">
        <w:rPr>
          <w:rFonts w:ascii="Bookman Old Style" w:hAnsi="Bookman Old Style"/>
          <w:i/>
        </w:rPr>
        <w:t>Leading &amp; Listening</w:t>
      </w:r>
      <w:r w:rsidRPr="009205ED">
        <w:t xml:space="preserve"> - Continue being accountable to our community and engaging with you through multiple effective communication channels</w:t>
      </w:r>
      <w:r>
        <w:t>.</w:t>
      </w:r>
    </w:p>
    <w:p w:rsidR="00476733" w:rsidRDefault="00476733"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476733" w:rsidRDefault="00476733">
      <w:pPr>
        <w:tabs>
          <w:tab w:val="left" w:pos="720"/>
          <w:tab w:val="left" w:pos="1440"/>
        </w:tabs>
        <w:ind w:left="1440"/>
      </w:pPr>
      <w:r>
        <w:rPr>
          <w:b/>
        </w:rPr>
        <w:t>Budget/Financial Implications</w:t>
      </w:r>
    </w:p>
    <w:p w:rsidR="00476733" w:rsidRDefault="00476733">
      <w:pPr>
        <w:tabs>
          <w:tab w:val="left" w:pos="720"/>
          <w:tab w:val="left" w:pos="1440"/>
        </w:tabs>
        <w:ind w:left="1440"/>
      </w:pPr>
    </w:p>
    <w:p w:rsidR="00476733" w:rsidRPr="0081638A" w:rsidRDefault="00476733" w:rsidP="00C455B6">
      <w:pPr>
        <w:tabs>
          <w:tab w:val="left" w:pos="720"/>
          <w:tab w:val="left" w:pos="1440"/>
        </w:tabs>
        <w:ind w:left="1440"/>
      </w:pPr>
      <w:r w:rsidRPr="0081638A">
        <w:t xml:space="preserve">The Annual Business Plan is budgeted in the Annual </w:t>
      </w:r>
      <w:proofErr w:type="gramStart"/>
      <w:r w:rsidRPr="0081638A">
        <w:t>Budget  2016</w:t>
      </w:r>
      <w:proofErr w:type="gramEnd"/>
      <w:r w:rsidRPr="0081638A">
        <w:t>/17 as well as being supported by the Long Term Financial Plan 201</w:t>
      </w:r>
      <w:r>
        <w:t>6</w:t>
      </w:r>
      <w:r w:rsidRPr="0081638A">
        <w:t xml:space="preserve">/17 – 2025/26. </w:t>
      </w:r>
    </w:p>
    <w:p w:rsidR="00476733" w:rsidRDefault="00476733">
      <w:pPr>
        <w:tabs>
          <w:tab w:val="left" w:pos="720"/>
          <w:tab w:val="left" w:pos="1440"/>
        </w:tabs>
        <w:ind w:left="1440"/>
      </w:pPr>
    </w:p>
    <w:p w:rsidR="00476733" w:rsidRDefault="00476733">
      <w:pPr>
        <w:tabs>
          <w:tab w:val="left" w:pos="720"/>
          <w:tab w:val="left" w:pos="1440"/>
        </w:tabs>
        <w:ind w:left="1440"/>
        <w:rPr>
          <w:b/>
        </w:rPr>
      </w:pPr>
      <w:r>
        <w:rPr>
          <w:b/>
        </w:rPr>
        <w:t>Legal Implications</w:t>
      </w:r>
    </w:p>
    <w:p w:rsidR="00476733" w:rsidRDefault="00476733">
      <w:pPr>
        <w:tabs>
          <w:tab w:val="left" w:pos="720"/>
          <w:tab w:val="left" w:pos="1440"/>
        </w:tabs>
        <w:ind w:left="1440"/>
      </w:pPr>
    </w:p>
    <w:p w:rsidR="00476733" w:rsidRDefault="00476733">
      <w:pPr>
        <w:tabs>
          <w:tab w:val="left" w:pos="720"/>
          <w:tab w:val="left" w:pos="1440"/>
        </w:tabs>
        <w:ind w:left="1440"/>
      </w:pPr>
      <w:r>
        <w:t>N/A</w:t>
      </w:r>
    </w:p>
    <w:p w:rsidR="00476733" w:rsidRDefault="00476733">
      <w:pPr>
        <w:tabs>
          <w:tab w:val="left" w:pos="720"/>
          <w:tab w:val="left" w:pos="1440"/>
        </w:tabs>
        <w:ind w:left="1440"/>
      </w:pPr>
    </w:p>
    <w:p w:rsidR="00476733" w:rsidRDefault="00476733">
      <w:pPr>
        <w:tabs>
          <w:tab w:val="left" w:pos="720"/>
          <w:tab w:val="left" w:pos="1440"/>
        </w:tabs>
        <w:ind w:left="1440"/>
        <w:rPr>
          <w:b/>
          <w:bCs/>
        </w:rPr>
      </w:pPr>
      <w:r>
        <w:rPr>
          <w:b/>
          <w:bCs/>
        </w:rPr>
        <w:t>Community Consultation</w:t>
      </w:r>
    </w:p>
    <w:p w:rsidR="00476733" w:rsidRDefault="00476733">
      <w:pPr>
        <w:tabs>
          <w:tab w:val="left" w:pos="720"/>
          <w:tab w:val="left" w:pos="1440"/>
        </w:tabs>
        <w:ind w:left="1440"/>
      </w:pPr>
    </w:p>
    <w:p w:rsidR="00476733" w:rsidRPr="00BC5657" w:rsidRDefault="00476733" w:rsidP="00C455B6">
      <w:pPr>
        <w:tabs>
          <w:tab w:val="left" w:pos="720"/>
          <w:tab w:val="left" w:pos="1440"/>
        </w:tabs>
        <w:ind w:left="1440"/>
      </w:pPr>
      <w:r w:rsidRPr="00BC5657">
        <w:t xml:space="preserve">External community consultation is not required for this Plan as it is largely an internal business document to guide Business and Service Units toward achieving the strategic objectives listed in the Strategic Community Plan.  However, key internal stakeholders have been consulted and have provided significant input to this Plan. </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rPr>
          <w:b/>
          <w:bCs/>
        </w:rPr>
      </w:pPr>
      <w:r>
        <w:rPr>
          <w:b/>
          <w:bCs/>
        </w:rPr>
        <w:t>Risk Management Implications</w:t>
      </w:r>
    </w:p>
    <w:p w:rsidR="00476733" w:rsidRDefault="00476733" w:rsidP="00C455B6">
      <w:pPr>
        <w:tabs>
          <w:tab w:val="left" w:pos="720"/>
          <w:tab w:val="left" w:pos="1440"/>
        </w:tabs>
        <w:ind w:left="1440"/>
      </w:pPr>
    </w:p>
    <w:p w:rsidR="00476733" w:rsidRPr="006528AE" w:rsidRDefault="00476733" w:rsidP="00C455B6">
      <w:pPr>
        <w:tabs>
          <w:tab w:val="left" w:pos="720"/>
          <w:tab w:val="left" w:pos="1440"/>
        </w:tabs>
        <w:ind w:left="1440"/>
      </w:pPr>
      <w:r w:rsidRPr="006528AE">
        <w:t>If Council do</w:t>
      </w:r>
      <w:r>
        <w:t>es</w:t>
      </w:r>
      <w:r w:rsidRPr="006528AE">
        <w:t xml:space="preserve"> not endorse the Annual Business Plan 2016/17 prior to 30 June 2016 it may reduce the capacity of the administration to deliver Council’s objectives over a full financial year.  </w:t>
      </w:r>
    </w:p>
    <w:p w:rsidR="00476733" w:rsidRDefault="00476733">
      <w:pPr>
        <w:tabs>
          <w:tab w:val="left" w:pos="720"/>
          <w:tab w:val="left" w:pos="1440"/>
        </w:tabs>
        <w:ind w:left="1440"/>
      </w:pPr>
    </w:p>
    <w:p w:rsidR="00476733" w:rsidRDefault="00476733">
      <w:pPr>
        <w:tabs>
          <w:tab w:val="left" w:pos="720"/>
          <w:tab w:val="left" w:pos="1440"/>
        </w:tabs>
        <w:ind w:left="1440"/>
      </w:pPr>
      <w:r>
        <w:rPr>
          <w:b/>
          <w:bCs/>
        </w:rPr>
        <w:t>Attachment(s)</w:t>
      </w:r>
    </w:p>
    <w:p w:rsidR="00476733" w:rsidRDefault="00476733">
      <w:pPr>
        <w:tabs>
          <w:tab w:val="left" w:pos="720"/>
          <w:tab w:val="left" w:pos="1440"/>
        </w:tabs>
        <w:ind w:left="1440"/>
      </w:pPr>
    </w:p>
    <w:p w:rsidR="00476733" w:rsidRDefault="00476733">
      <w:pPr>
        <w:tabs>
          <w:tab w:val="left" w:pos="720"/>
          <w:tab w:val="left" w:pos="1440"/>
        </w:tabs>
        <w:ind w:left="1440"/>
      </w:pPr>
      <w:proofErr w:type="gramStart"/>
      <w:r>
        <w:t>Annual Business Plan 2016/17.</w:t>
      </w:r>
      <w:proofErr w:type="gramEnd"/>
    </w:p>
    <w:p w:rsidR="00476733" w:rsidRDefault="00476733">
      <w:pPr>
        <w:tabs>
          <w:tab w:val="left" w:pos="720"/>
          <w:tab w:val="left" w:pos="1440"/>
        </w:tabs>
        <w:ind w:left="1440"/>
      </w:pPr>
    </w:p>
    <w:p w:rsidR="00476733" w:rsidRDefault="0047673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476733" w:rsidRDefault="00476733">
      <w:pPr>
        <w:tabs>
          <w:tab w:val="left" w:pos="720"/>
          <w:tab w:val="left" w:pos="1440"/>
        </w:tabs>
        <w:ind w:left="1440"/>
      </w:pPr>
    </w:p>
    <w:p w:rsidR="00476733" w:rsidRDefault="00476733">
      <w:pPr>
        <w:autoSpaceDE w:val="0"/>
        <w:autoSpaceDN w:val="0"/>
        <w:adjustRightInd w:val="0"/>
        <w:ind w:left="1440"/>
        <w:rPr>
          <w:rFonts w:cs="Arial"/>
          <w:szCs w:val="24"/>
          <w:lang w:val="en-US"/>
        </w:rPr>
      </w:pPr>
      <w:r>
        <w:rPr>
          <w:rFonts w:cs="Arial"/>
          <w:szCs w:val="24"/>
          <w:lang w:val="en-US"/>
        </w:rPr>
        <w:t>N/A</w:t>
      </w:r>
    </w:p>
    <w:p w:rsidR="00476733" w:rsidRDefault="00476733">
      <w:pPr>
        <w:tabs>
          <w:tab w:val="left" w:pos="720"/>
          <w:tab w:val="left" w:pos="1440"/>
        </w:tabs>
        <w:ind w:left="1440"/>
      </w:pPr>
    </w:p>
    <w:p w:rsidR="00476733" w:rsidRDefault="00476733">
      <w:pPr>
        <w:tabs>
          <w:tab w:val="left" w:pos="1440"/>
        </w:tabs>
        <w:ind w:left="1440"/>
      </w:pPr>
      <w:r>
        <w:rPr>
          <w:b/>
        </w:rPr>
        <w:t>Implications of Section 3.18(3) Local Government Act, 1995</w:t>
      </w:r>
    </w:p>
    <w:p w:rsidR="00476733" w:rsidRDefault="00476733">
      <w:pPr>
        <w:tabs>
          <w:tab w:val="left" w:pos="1440"/>
        </w:tabs>
        <w:ind w:left="1440"/>
      </w:pPr>
    </w:p>
    <w:p w:rsidR="00476733" w:rsidRDefault="00476733">
      <w:pPr>
        <w:tabs>
          <w:tab w:val="left" w:pos="1440"/>
        </w:tabs>
        <w:spacing w:after="480"/>
        <w:ind w:left="1440"/>
      </w:pPr>
      <w:proofErr w:type="gramStart"/>
      <w:r>
        <w:t>Nil.</w:t>
      </w:r>
      <w:proofErr w:type="gramEnd"/>
    </w:p>
    <w:p w:rsidR="00476733" w:rsidRDefault="00476733">
      <w:pPr>
        <w:pStyle w:val="AGHEAD2"/>
      </w:pPr>
      <w:r>
        <w:fldChar w:fldCharType="begin"/>
      </w:r>
      <w:r>
        <w:instrText xml:space="preserve"> MERGEFIELD Item_No </w:instrText>
      </w:r>
      <w:r>
        <w:fldChar w:fldCharType="separate"/>
      </w:r>
      <w:bookmarkStart w:id="27" w:name="_Toc454780264"/>
      <w:r w:rsidRPr="00660D0E">
        <w:t>9.2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60D0E">
        <w:rPr>
          <w:sz w:val="28"/>
        </w:rPr>
        <w:instrText>5826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0D3B8F">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660D0E">
        <w:rPr>
          <w:sz w:val="28"/>
        </w:rPr>
        <w:instrText>5826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660D0E">
        <w:rPr>
          <w:sz w:val="28"/>
          <w:u w:val="single"/>
        </w:rPr>
        <w:instrText>5826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660D0E">
        <w:rPr>
          <w:sz w:val="28"/>
          <w:u w:val="single"/>
        </w:rPr>
        <w:instrText>5826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660D0E">
        <w:instrText>SCM 23/06/2016</w:instrText>
      </w:r>
      <w:r>
        <w:fldChar w:fldCharType="end"/>
      </w:r>
      <w:r>
        <w:instrText xml:space="preserve">) - </w:instrText>
      </w:r>
      <w:r>
        <w:fldChar w:fldCharType="begin"/>
      </w:r>
      <w:r>
        <w:instrText xml:space="preserve"> MERGEFIELD Subject  \* UPPER </w:instrText>
      </w:r>
      <w:r>
        <w:fldChar w:fldCharType="separate"/>
      </w:r>
      <w:r w:rsidRPr="00660D0E">
        <w:instrText>ADOPTION OF 2016/17 DIFFERENTIAL RATES, 2016/17 MUNICIPAL BUDGET AND 2016/17 SCHEDULE OF FEES AND CHARGES  (071/006; 075/011; 097/009)  (S DOWNING/N MAURICIO)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0D3B8F">
        <w:rPr>
          <w:sz w:val="28"/>
          <w:u w:val="single"/>
        </w:rPr>
        <w:t xml:space="preserve">(MINUTE NO </w:t>
      </w:r>
      <w:r w:rsidR="000D3B8F">
        <w:rPr>
          <w:sz w:val="28"/>
          <w:u w:val="single"/>
        </w:rPr>
        <w:fldChar w:fldCharType="begin"/>
      </w:r>
      <w:r w:rsidR="000D3B8F">
        <w:rPr>
          <w:sz w:val="28"/>
          <w:u w:val="single"/>
        </w:rPr>
        <w:instrText xml:space="preserve"> MERGEFIELD Minute_No_1 </w:instrText>
      </w:r>
      <w:r w:rsidR="000D3B8F">
        <w:rPr>
          <w:sz w:val="28"/>
          <w:u w:val="single"/>
        </w:rPr>
        <w:fldChar w:fldCharType="separate"/>
      </w:r>
      <w:r w:rsidR="000D3B8F" w:rsidRPr="00660D0E">
        <w:rPr>
          <w:sz w:val="28"/>
          <w:u w:val="single"/>
        </w:rPr>
        <w:t>5826</w:t>
      </w:r>
      <w:r w:rsidR="000D3B8F">
        <w:rPr>
          <w:sz w:val="28"/>
          <w:u w:val="single"/>
        </w:rPr>
        <w:fldChar w:fldCharType="end"/>
      </w:r>
      <w:r w:rsidR="000D3B8F">
        <w:rPr>
          <w:sz w:val="28"/>
          <w:u w:val="single"/>
        </w:rPr>
        <w:t>)</w:t>
      </w:r>
      <w:r w:rsidR="000D3B8F">
        <w:rPr>
          <w:sz w:val="28"/>
        </w:rPr>
        <w:t xml:space="preserve"> </w:t>
      </w:r>
      <w:r w:rsidR="000D3B8F">
        <w:t>(</w:t>
      </w:r>
      <w:r w:rsidR="000D3B8F">
        <w:fldChar w:fldCharType="begin"/>
      </w:r>
      <w:r w:rsidR="000D3B8F">
        <w:instrText xml:space="preserve"> MERGEFIELD Meeting_Alternate \* Upper </w:instrText>
      </w:r>
      <w:r w:rsidR="000D3B8F">
        <w:fldChar w:fldCharType="separate"/>
      </w:r>
      <w:r w:rsidR="000D3B8F" w:rsidRPr="00660D0E">
        <w:t>SCM 23/06/2016</w:t>
      </w:r>
      <w:r w:rsidR="000D3B8F">
        <w:fldChar w:fldCharType="end"/>
      </w:r>
      <w:r w:rsidR="000D3B8F">
        <w:t xml:space="preserve">) - </w:t>
      </w:r>
      <w:r w:rsidR="000D3B8F">
        <w:fldChar w:fldCharType="begin"/>
      </w:r>
      <w:r w:rsidR="000D3B8F">
        <w:instrText xml:space="preserve"> MERGEFIELD Subject  \* UPPER </w:instrText>
      </w:r>
      <w:r w:rsidR="000D3B8F">
        <w:fldChar w:fldCharType="separate"/>
      </w:r>
      <w:r w:rsidR="000D3B8F" w:rsidRPr="00660D0E">
        <w:t>ADOPTION OF 2016/17 DIFFERENTIAL RATES, 2016/17 MUNICIPAL BUDGET AND 2016/17 SCHEDULE OF FEES AND CHARGES  (071/006; 075/011; 097/009)  (S DOWNING/N MAURICIO)  (ATTACH)</w:t>
      </w:r>
      <w:r w:rsidR="000D3B8F">
        <w:fldChar w:fldCharType="end"/>
      </w:r>
      <w:bookmarkEnd w:id="27"/>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rsidTr="00C455B6">
        <w:tc>
          <w:tcPr>
            <w:tcW w:w="7785" w:type="dxa"/>
          </w:tcPr>
          <w:p w:rsidR="00476733" w:rsidRDefault="00476733" w:rsidP="00C455B6">
            <w:pPr>
              <w:tabs>
                <w:tab w:val="left" w:pos="720"/>
                <w:tab w:val="left" w:pos="1440"/>
              </w:tabs>
            </w:pPr>
            <w:r>
              <w:rPr>
                <w:b/>
              </w:rPr>
              <w:t>RECOMMENDATION</w:t>
            </w:r>
          </w:p>
          <w:p w:rsidR="00476733" w:rsidRDefault="00476733" w:rsidP="00C455B6">
            <w:pPr>
              <w:rPr>
                <w:rFonts w:cs="Arial"/>
              </w:rPr>
            </w:pPr>
            <w:r>
              <w:t xml:space="preserve">That </w:t>
            </w:r>
            <w:r>
              <w:rPr>
                <w:rFonts w:cs="Arial"/>
              </w:rPr>
              <w:t>Council adopt:</w:t>
            </w:r>
          </w:p>
          <w:p w:rsidR="00476733" w:rsidRDefault="00476733" w:rsidP="00C455B6">
            <w:pPr>
              <w:rPr>
                <w:rFonts w:cs="Arial"/>
              </w:rPr>
            </w:pPr>
          </w:p>
          <w:p w:rsidR="00476733" w:rsidRDefault="00476733" w:rsidP="00C455B6">
            <w:pPr>
              <w:tabs>
                <w:tab w:val="left" w:pos="720"/>
                <w:tab w:val="left" w:pos="1440"/>
              </w:tabs>
            </w:pPr>
            <w:r>
              <w:rPr>
                <w:rFonts w:cs="Arial"/>
              </w:rPr>
              <w:t>(1)</w:t>
            </w:r>
            <w:r>
              <w:rPr>
                <w:rFonts w:cs="Arial"/>
              </w:rPr>
              <w:tab/>
            </w:r>
            <w:r>
              <w:t>Part A – Municipal Fund Budget 2016/17</w:t>
            </w:r>
          </w:p>
          <w:p w:rsidR="00476733" w:rsidRDefault="00476733" w:rsidP="00C455B6">
            <w:pPr>
              <w:ind w:left="720" w:hanging="720"/>
            </w:pPr>
          </w:p>
          <w:p w:rsidR="00476733" w:rsidRPr="00EA2C12" w:rsidRDefault="00476733" w:rsidP="00C455B6">
            <w:pPr>
              <w:ind w:left="720"/>
            </w:pPr>
            <w:r w:rsidRPr="00EA2C12">
              <w:t xml:space="preserve">Pursuant to the provisions of section 6.2 of the Local Government Act 1995 and Part 3 of the Local Government (Financial Management) Regulations 1996, the Municipal Fund Budget as </w:t>
            </w:r>
            <w:r>
              <w:t>attached to the</w:t>
            </w:r>
            <w:r w:rsidRPr="00EA2C12">
              <w:t xml:space="preserve"> Agenda, for the </w:t>
            </w:r>
            <w:r>
              <w:t>Cit</w:t>
            </w:r>
            <w:r w:rsidRPr="00EA2C12">
              <w:t>y</w:t>
            </w:r>
            <w:r>
              <w:t xml:space="preserve"> of Cockburn </w:t>
            </w:r>
            <w:r w:rsidRPr="00EA2C12">
              <w:t xml:space="preserve">for the </w:t>
            </w:r>
            <w:r>
              <w:t>2016/17</w:t>
            </w:r>
            <w:r w:rsidRPr="00EA2C12">
              <w:t xml:space="preserve"> financial year which includes the following:</w:t>
            </w:r>
          </w:p>
          <w:p w:rsidR="00476733" w:rsidRPr="00EE18DD" w:rsidRDefault="00476733" w:rsidP="00476733">
            <w:pPr>
              <w:numPr>
                <w:ilvl w:val="0"/>
                <w:numId w:val="12"/>
              </w:numPr>
              <w:ind w:left="1080"/>
            </w:pPr>
            <w:r w:rsidRPr="00EA2C12">
              <w:t>Statement of Comprehensive Income by Nature and Type showing a net result for that year o</w:t>
            </w:r>
            <w:r w:rsidRPr="00EE18DD">
              <w:t>f $41,404,152.</w:t>
            </w:r>
          </w:p>
          <w:p w:rsidR="00476733" w:rsidRPr="00EE18DD" w:rsidRDefault="00476733" w:rsidP="00476733">
            <w:pPr>
              <w:numPr>
                <w:ilvl w:val="0"/>
                <w:numId w:val="12"/>
              </w:numPr>
              <w:ind w:left="1080"/>
            </w:pPr>
            <w:r w:rsidRPr="00EE18DD">
              <w:t>Statement of Comprehensive Income by Program showing a net result for that year of $41,404,152.</w:t>
            </w:r>
          </w:p>
          <w:p w:rsidR="00476733" w:rsidRPr="00EE18DD" w:rsidRDefault="00476733" w:rsidP="00476733">
            <w:pPr>
              <w:numPr>
                <w:ilvl w:val="0"/>
                <w:numId w:val="12"/>
              </w:numPr>
              <w:ind w:left="1080"/>
            </w:pPr>
            <w:r w:rsidRPr="00EE18DD">
              <w:t>Statement of Cash Flows</w:t>
            </w:r>
          </w:p>
          <w:p w:rsidR="00476733" w:rsidRPr="00EE18DD" w:rsidRDefault="00476733" w:rsidP="00476733">
            <w:pPr>
              <w:numPr>
                <w:ilvl w:val="0"/>
                <w:numId w:val="12"/>
              </w:numPr>
              <w:ind w:left="1080"/>
            </w:pPr>
            <w:r w:rsidRPr="00EE18DD">
              <w:t>Rate Setting Statement showing an amount required to be raised from rates of $</w:t>
            </w:r>
            <w:r w:rsidRPr="00EE18DD">
              <w:rPr>
                <w:lang w:val="en-US"/>
              </w:rPr>
              <w:t>96,000,000.</w:t>
            </w:r>
          </w:p>
          <w:p w:rsidR="00476733" w:rsidRPr="00EA2C12" w:rsidRDefault="00476733" w:rsidP="00476733">
            <w:pPr>
              <w:numPr>
                <w:ilvl w:val="0"/>
                <w:numId w:val="12"/>
              </w:numPr>
              <w:ind w:left="1080"/>
            </w:pPr>
            <w:r w:rsidRPr="00EA2C12">
              <w:t xml:space="preserve">Notes to and Forming Part of the Budget </w:t>
            </w:r>
          </w:p>
          <w:p w:rsidR="00476733" w:rsidRPr="00EA2C12" w:rsidRDefault="00476733" w:rsidP="00476733">
            <w:pPr>
              <w:numPr>
                <w:ilvl w:val="0"/>
                <w:numId w:val="12"/>
              </w:numPr>
              <w:ind w:left="1080"/>
            </w:pPr>
            <w:r w:rsidRPr="00EA2C12">
              <w:t>Budget Program Schedules</w:t>
            </w:r>
          </w:p>
          <w:p w:rsidR="00476733" w:rsidRDefault="00476733" w:rsidP="00C455B6">
            <w:pPr>
              <w:ind w:left="720" w:hanging="720"/>
            </w:pPr>
          </w:p>
          <w:p w:rsidR="00476733" w:rsidRDefault="00476733" w:rsidP="00C455B6">
            <w:pPr>
              <w:ind w:left="720" w:hanging="720"/>
            </w:pPr>
            <w:r>
              <w:t>(2)</w:t>
            </w:r>
            <w:r>
              <w:tab/>
              <w:t>Part B – General and Minimum Rates, Instalment Payment Arrangements:</w:t>
            </w:r>
          </w:p>
          <w:p w:rsidR="00476733" w:rsidRDefault="00476733" w:rsidP="00C455B6">
            <w:pPr>
              <w:ind w:left="720" w:hanging="720"/>
            </w:pPr>
          </w:p>
          <w:p w:rsidR="00476733" w:rsidRPr="00EA2C12" w:rsidRDefault="00476733" w:rsidP="00C455B6">
            <w:pPr>
              <w:ind w:left="1440" w:hanging="720"/>
            </w:pPr>
            <w:r w:rsidRPr="00EA2C12">
              <w:t>1.</w:t>
            </w:r>
            <w:r w:rsidRPr="00EA2C12">
              <w:tab/>
              <w:t>For the purpose of yielding the deficiency disclosed by the Municipal Fund Budget adopted at Part A above, Council pursuant to sections 6.32, 6.33, 6.34 and 6.35 of the Local Government Act 1995 impose the following differential general and minimum rates on Gross Rental and Unimproved Values.</w:t>
            </w:r>
          </w:p>
          <w:p w:rsidR="00476733" w:rsidRPr="00EA2C12" w:rsidRDefault="00476733" w:rsidP="00C455B6">
            <w:pPr>
              <w:ind w:left="1440" w:hanging="720"/>
            </w:pPr>
          </w:p>
          <w:p w:rsidR="00476733" w:rsidRPr="00C36818" w:rsidRDefault="00476733" w:rsidP="00C455B6">
            <w:pPr>
              <w:pStyle w:val="commentarybody"/>
              <w:widowControl w:val="0"/>
              <w:tabs>
                <w:tab w:val="left" w:pos="6300"/>
              </w:tabs>
              <w:ind w:left="1440"/>
              <w:rPr>
                <w:rFonts w:ascii="Arial" w:hAnsi="Arial" w:cs="Arial"/>
                <w:szCs w:val="18"/>
                <w:u w:val="single"/>
              </w:rPr>
            </w:pPr>
            <w:r w:rsidRPr="00C36818">
              <w:rPr>
                <w:rFonts w:ascii="Arial" w:hAnsi="Arial" w:cs="Arial"/>
                <w:szCs w:val="18"/>
                <w:u w:val="single"/>
              </w:rPr>
              <w:t>General Rates</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Commercial Caravan Park</w:t>
            </w:r>
            <w:r w:rsidRPr="00C36818">
              <w:rPr>
                <w:rFonts w:ascii="Arial" w:hAnsi="Arial" w:cs="Arial"/>
                <w:szCs w:val="18"/>
              </w:rPr>
              <w:tab/>
              <w:t>9.500¢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Improved Commercial &amp; Industrial</w:t>
            </w:r>
            <w:r w:rsidRPr="00C36818">
              <w:rPr>
                <w:rFonts w:ascii="Arial" w:hAnsi="Arial" w:cs="Arial"/>
                <w:szCs w:val="18"/>
              </w:rPr>
              <w:tab/>
              <w:t>7.550¢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Improved Commercial &amp; Industrial (Large)</w:t>
            </w:r>
            <w:r w:rsidRPr="00C36818">
              <w:rPr>
                <w:rFonts w:ascii="Arial" w:hAnsi="Arial" w:cs="Arial"/>
                <w:szCs w:val="18"/>
              </w:rPr>
              <w:tab/>
              <w:t>8.058¢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Improved Residential</w:t>
            </w:r>
            <w:r w:rsidRPr="00C36818">
              <w:rPr>
                <w:rFonts w:ascii="Arial" w:hAnsi="Arial" w:cs="Arial"/>
                <w:szCs w:val="18"/>
              </w:rPr>
              <w:tab/>
              <w:t>7.286¢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Rural Vacant Land</w:t>
            </w:r>
            <w:r w:rsidRPr="00C36818">
              <w:rPr>
                <w:rFonts w:ascii="Arial" w:hAnsi="Arial" w:cs="Arial"/>
                <w:szCs w:val="18"/>
              </w:rPr>
              <w:tab/>
              <w:t>0.391¢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Rural General Improved</w:t>
            </w:r>
            <w:r w:rsidRPr="00C36818">
              <w:rPr>
                <w:rFonts w:ascii="Arial" w:hAnsi="Arial" w:cs="Arial"/>
                <w:szCs w:val="18"/>
              </w:rPr>
              <w:tab/>
              <w:t>0.253¢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Specified Area Port Coogee</w:t>
            </w:r>
            <w:r w:rsidRPr="00C36818">
              <w:rPr>
                <w:szCs w:val="18"/>
              </w:rPr>
              <w:t xml:space="preserve"> Special Maintenance</w:t>
            </w:r>
            <w:r w:rsidRPr="00C36818">
              <w:rPr>
                <w:rFonts w:ascii="Arial" w:hAnsi="Arial" w:cs="Arial"/>
                <w:szCs w:val="18"/>
              </w:rPr>
              <w:tab/>
              <w:t>1.200¢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 xml:space="preserve">Specified Area Cockburn Coast Special Maintenance </w:t>
            </w:r>
            <w:r w:rsidRPr="00C36818">
              <w:rPr>
                <w:rFonts w:ascii="Arial" w:hAnsi="Arial" w:cs="Arial"/>
                <w:szCs w:val="18"/>
              </w:rPr>
              <w:tab/>
              <w:t>1.200¢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Specified Area Port Coogee Waterways</w:t>
            </w:r>
            <w:r w:rsidRPr="00C36818">
              <w:rPr>
                <w:rFonts w:ascii="Arial" w:hAnsi="Arial" w:cs="Arial"/>
                <w:szCs w:val="18"/>
              </w:rPr>
              <w:tab/>
              <w:t>1.200¢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Vacant Commercial &amp; Industrial</w:t>
            </w:r>
            <w:r w:rsidRPr="00C36818">
              <w:rPr>
                <w:rFonts w:ascii="Arial" w:hAnsi="Arial" w:cs="Arial"/>
                <w:szCs w:val="18"/>
              </w:rPr>
              <w:tab/>
              <w:t>9.391¢ in the $</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Vacant Residential</w:t>
            </w:r>
            <w:r w:rsidRPr="00C36818">
              <w:rPr>
                <w:rFonts w:ascii="Arial" w:hAnsi="Arial" w:cs="Arial"/>
                <w:szCs w:val="18"/>
              </w:rPr>
              <w:tab/>
              <w:t>9.391¢ in the $</w:t>
            </w:r>
          </w:p>
          <w:p w:rsidR="00476733" w:rsidRPr="00C36818" w:rsidRDefault="00476733" w:rsidP="00C455B6">
            <w:pPr>
              <w:pStyle w:val="commentarybody"/>
              <w:widowControl w:val="0"/>
              <w:tabs>
                <w:tab w:val="left" w:pos="6120"/>
                <w:tab w:val="left" w:pos="6300"/>
              </w:tabs>
              <w:ind w:left="1276" w:hanging="992"/>
              <w:rPr>
                <w:rFonts w:cs="Arial"/>
                <w:szCs w:val="18"/>
              </w:rPr>
            </w:pPr>
          </w:p>
          <w:p w:rsidR="00476733" w:rsidRPr="00C36818" w:rsidRDefault="00476733" w:rsidP="00C455B6">
            <w:pPr>
              <w:pStyle w:val="commentarybody"/>
              <w:widowControl w:val="0"/>
              <w:tabs>
                <w:tab w:val="left" w:pos="6120"/>
                <w:tab w:val="left" w:pos="6300"/>
              </w:tabs>
              <w:ind w:left="1440"/>
              <w:rPr>
                <w:rFonts w:ascii="Arial" w:hAnsi="Arial" w:cs="Arial"/>
                <w:szCs w:val="18"/>
                <w:u w:val="single"/>
              </w:rPr>
            </w:pPr>
            <w:r w:rsidRPr="00C36818">
              <w:rPr>
                <w:rFonts w:ascii="Arial" w:hAnsi="Arial" w:cs="Arial"/>
                <w:szCs w:val="18"/>
                <w:u w:val="single"/>
              </w:rPr>
              <w:t>Minimum Payment Rates</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Commercial Caravan Park</w:t>
            </w:r>
            <w:r w:rsidRPr="00C36818">
              <w:rPr>
                <w:rFonts w:ascii="Arial" w:hAnsi="Arial" w:cs="Arial"/>
                <w:szCs w:val="18"/>
              </w:rPr>
              <w:tab/>
              <w:t>$744</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Improved Commercial &amp; Industrial</w:t>
            </w:r>
            <w:r w:rsidRPr="00C36818">
              <w:rPr>
                <w:rFonts w:ascii="Arial" w:hAnsi="Arial" w:cs="Arial"/>
                <w:szCs w:val="18"/>
              </w:rPr>
              <w:tab/>
              <w:t>$744</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Improved Commercial &amp; Industrial (Large)</w:t>
            </w:r>
            <w:r w:rsidRPr="00C36818">
              <w:rPr>
                <w:rFonts w:ascii="Arial" w:hAnsi="Arial" w:cs="Arial"/>
                <w:szCs w:val="18"/>
              </w:rPr>
              <w:tab/>
              <w:t>$744</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Improved Residential</w:t>
            </w:r>
            <w:r w:rsidRPr="00C36818">
              <w:rPr>
                <w:rFonts w:ascii="Arial" w:hAnsi="Arial" w:cs="Arial"/>
                <w:szCs w:val="18"/>
              </w:rPr>
              <w:tab/>
              <w:t>$1,287</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Rural Vacant Land</w:t>
            </w:r>
            <w:r w:rsidRPr="00C36818">
              <w:rPr>
                <w:rFonts w:ascii="Arial" w:hAnsi="Arial" w:cs="Arial"/>
                <w:szCs w:val="18"/>
              </w:rPr>
              <w:tab/>
              <w:t>$906</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Rural General Improved</w:t>
            </w:r>
            <w:r w:rsidRPr="00C36818">
              <w:rPr>
                <w:rFonts w:ascii="Arial" w:hAnsi="Arial" w:cs="Arial"/>
                <w:szCs w:val="18"/>
              </w:rPr>
              <w:tab/>
              <w:t>$906</w:t>
            </w:r>
          </w:p>
          <w:p w:rsidR="00476733" w:rsidRPr="00C36818" w:rsidRDefault="00476733" w:rsidP="00476733">
            <w:pPr>
              <w:pStyle w:val="commentarybody"/>
              <w:widowControl w:val="0"/>
              <w:numPr>
                <w:ilvl w:val="0"/>
                <w:numId w:val="13"/>
              </w:numPr>
              <w:tabs>
                <w:tab w:val="clear" w:pos="1353"/>
                <w:tab w:val="num" w:pos="1800"/>
                <w:tab w:val="left" w:pos="6300"/>
                <w:tab w:val="left" w:pos="7020"/>
              </w:tabs>
              <w:ind w:left="1800"/>
              <w:rPr>
                <w:rFonts w:ascii="Arial" w:hAnsi="Arial" w:cs="Arial"/>
                <w:szCs w:val="18"/>
              </w:rPr>
            </w:pPr>
            <w:r w:rsidRPr="00C36818">
              <w:rPr>
                <w:rFonts w:ascii="Arial" w:hAnsi="Arial" w:cs="Arial"/>
                <w:szCs w:val="18"/>
              </w:rPr>
              <w:t>Vacant Commercial &amp; Industrial</w:t>
            </w:r>
            <w:r w:rsidRPr="00C36818">
              <w:rPr>
                <w:rFonts w:ascii="Arial" w:hAnsi="Arial" w:cs="Arial"/>
                <w:szCs w:val="18"/>
              </w:rPr>
              <w:tab/>
              <w:t>$744</w:t>
            </w:r>
          </w:p>
          <w:p w:rsidR="00476733" w:rsidRPr="00F46BBC" w:rsidRDefault="00476733" w:rsidP="00476733">
            <w:pPr>
              <w:pStyle w:val="commentarybody"/>
              <w:widowControl w:val="0"/>
              <w:numPr>
                <w:ilvl w:val="0"/>
                <w:numId w:val="13"/>
              </w:numPr>
              <w:tabs>
                <w:tab w:val="clear" w:pos="1353"/>
                <w:tab w:val="num" w:pos="1800"/>
                <w:tab w:val="left" w:pos="6300"/>
                <w:tab w:val="left" w:pos="7020"/>
              </w:tabs>
              <w:ind w:left="1800"/>
              <w:rPr>
                <w:rFonts w:cs="Arial"/>
                <w:sz w:val="20"/>
              </w:rPr>
            </w:pPr>
            <w:r w:rsidRPr="00C36818">
              <w:rPr>
                <w:rFonts w:ascii="Arial" w:hAnsi="Arial" w:cs="Arial"/>
                <w:szCs w:val="18"/>
              </w:rPr>
              <w:t>Vacant Residential</w:t>
            </w:r>
            <w:r w:rsidRPr="00C36818">
              <w:rPr>
                <w:rFonts w:ascii="Arial" w:hAnsi="Arial" w:cs="Arial"/>
                <w:szCs w:val="18"/>
              </w:rPr>
              <w:tab/>
              <w:t>$744</w:t>
            </w:r>
          </w:p>
          <w:p w:rsidR="00476733" w:rsidRDefault="00476733" w:rsidP="00C455B6">
            <w:pPr>
              <w:ind w:left="1440" w:hanging="720"/>
            </w:pPr>
          </w:p>
          <w:p w:rsidR="00476733" w:rsidRDefault="00476733" w:rsidP="00C455B6">
            <w:pPr>
              <w:ind w:left="1440" w:hanging="720"/>
              <w:rPr>
                <w:rFonts w:cs="Arial"/>
                <w:szCs w:val="18"/>
              </w:rPr>
            </w:pPr>
            <w:r>
              <w:t>2.</w:t>
            </w:r>
            <w:r>
              <w:tab/>
              <w:t>Pursuant to section 6.47 of the Local Government Act grant a rates concession to Improved Residential single dwelling properties of 2.699</w:t>
            </w:r>
            <w:r w:rsidRPr="00C36818">
              <w:rPr>
                <w:rFonts w:cs="Arial"/>
                <w:szCs w:val="18"/>
              </w:rPr>
              <w:t>¢</w:t>
            </w:r>
            <w:r>
              <w:rPr>
                <w:rFonts w:cs="Arial"/>
                <w:szCs w:val="18"/>
              </w:rPr>
              <w:t xml:space="preserve"> in the $ applied to </w:t>
            </w:r>
            <w:proofErr w:type="spellStart"/>
            <w:r>
              <w:rPr>
                <w:rFonts w:cs="Arial"/>
                <w:szCs w:val="18"/>
              </w:rPr>
              <w:t>GRV</w:t>
            </w:r>
            <w:proofErr w:type="spellEnd"/>
            <w:r>
              <w:rPr>
                <w:rFonts w:cs="Arial"/>
                <w:szCs w:val="18"/>
              </w:rPr>
              <w:t xml:space="preserve"> value over and above $20,690.</w:t>
            </w:r>
          </w:p>
          <w:p w:rsidR="00476733" w:rsidRDefault="00476733" w:rsidP="00C455B6">
            <w:pPr>
              <w:ind w:left="1440" w:hanging="720"/>
            </w:pPr>
          </w:p>
          <w:p w:rsidR="00476733" w:rsidRDefault="00476733" w:rsidP="00C455B6">
            <w:pPr>
              <w:ind w:left="1440" w:hanging="720"/>
            </w:pPr>
            <w:r>
              <w:lastRenderedPageBreak/>
              <w:t>3.</w:t>
            </w:r>
            <w:r>
              <w:tab/>
              <w:t>Pursuant to section 6.37 of the Local Government Act establish the Port Coogee Waterways Specified Area Rate (SAR) the maintenance of the waterways surrounding Port Coogee marina and associated infrastructure.</w:t>
            </w:r>
          </w:p>
          <w:p w:rsidR="00476733" w:rsidRDefault="00476733" w:rsidP="00C455B6">
            <w:pPr>
              <w:ind w:left="1440" w:hanging="720"/>
            </w:pPr>
          </w:p>
          <w:p w:rsidR="00476733" w:rsidRDefault="00476733" w:rsidP="00C455B6">
            <w:pPr>
              <w:ind w:left="1440" w:hanging="720"/>
            </w:pPr>
            <w:r>
              <w:t>4.</w:t>
            </w:r>
            <w:r>
              <w:tab/>
            </w:r>
            <w:r w:rsidRPr="00EA2C12">
              <w:t xml:space="preserve">Pursuant to section 6.45 of the Local Government Act 1995 and regulation 64(2) of the Local Government (Financial Management) Regulations 1996, </w:t>
            </w:r>
            <w:r>
              <w:t xml:space="preserve">set </w:t>
            </w:r>
            <w:r w:rsidRPr="00EA2C12">
              <w:t xml:space="preserve">the following due dates for the payment in full </w:t>
            </w:r>
            <w:r>
              <w:t xml:space="preserve">or </w:t>
            </w:r>
            <w:r w:rsidRPr="00EA2C12">
              <w:t>by instalments:</w:t>
            </w:r>
          </w:p>
          <w:p w:rsidR="00476733" w:rsidRPr="00EA2C12" w:rsidRDefault="00476733" w:rsidP="00C455B6">
            <w:pPr>
              <w:ind w:left="1440" w:hanging="720"/>
            </w:pPr>
          </w:p>
          <w:p w:rsidR="00476733" w:rsidRPr="00F46BBC" w:rsidRDefault="00476733" w:rsidP="00476733">
            <w:pPr>
              <w:numPr>
                <w:ilvl w:val="0"/>
                <w:numId w:val="14"/>
              </w:numPr>
              <w:tabs>
                <w:tab w:val="left" w:pos="1800"/>
                <w:tab w:val="left" w:pos="5850"/>
              </w:tabs>
              <w:ind w:left="1800"/>
              <w:rPr>
                <w:sz w:val="20"/>
              </w:rPr>
            </w:pPr>
            <w:r w:rsidRPr="00F46BBC">
              <w:rPr>
                <w:sz w:val="20"/>
              </w:rPr>
              <w:t>Full payment and 1</w:t>
            </w:r>
            <w:r w:rsidRPr="00F46BBC">
              <w:rPr>
                <w:sz w:val="20"/>
                <w:vertAlign w:val="superscript"/>
              </w:rPr>
              <w:t>st</w:t>
            </w:r>
            <w:r w:rsidRPr="00F46BBC">
              <w:rPr>
                <w:sz w:val="20"/>
              </w:rPr>
              <w:t xml:space="preserve"> instalment due date </w:t>
            </w:r>
            <w:r w:rsidRPr="00F46BBC">
              <w:rPr>
                <w:sz w:val="20"/>
              </w:rPr>
              <w:tab/>
            </w:r>
            <w:r>
              <w:rPr>
                <w:sz w:val="20"/>
              </w:rPr>
              <w:t>2 September</w:t>
            </w:r>
            <w:r w:rsidRPr="00F46BBC">
              <w:rPr>
                <w:sz w:val="20"/>
              </w:rPr>
              <w:t xml:space="preserve"> 201</w:t>
            </w:r>
            <w:r>
              <w:rPr>
                <w:sz w:val="20"/>
              </w:rPr>
              <w:t>6</w:t>
            </w:r>
          </w:p>
          <w:p w:rsidR="00476733" w:rsidRPr="00F46BBC" w:rsidRDefault="00476733" w:rsidP="00476733">
            <w:pPr>
              <w:numPr>
                <w:ilvl w:val="0"/>
                <w:numId w:val="14"/>
              </w:numPr>
              <w:tabs>
                <w:tab w:val="left" w:pos="1800"/>
                <w:tab w:val="left" w:pos="5850"/>
              </w:tabs>
              <w:ind w:left="6570" w:hanging="5130"/>
              <w:rPr>
                <w:sz w:val="20"/>
              </w:rPr>
            </w:pPr>
            <w:r w:rsidRPr="00F46BBC">
              <w:rPr>
                <w:sz w:val="20"/>
              </w:rPr>
              <w:t>2</w:t>
            </w:r>
            <w:r w:rsidRPr="00F46BBC">
              <w:rPr>
                <w:sz w:val="20"/>
                <w:vertAlign w:val="superscript"/>
              </w:rPr>
              <w:t>nd</w:t>
            </w:r>
            <w:r w:rsidRPr="00F46BBC">
              <w:rPr>
                <w:sz w:val="20"/>
              </w:rPr>
              <w:t xml:space="preserve">  instalment due date</w:t>
            </w:r>
            <w:r w:rsidRPr="00F46BBC">
              <w:rPr>
                <w:sz w:val="20"/>
              </w:rPr>
              <w:tab/>
            </w:r>
            <w:r>
              <w:rPr>
                <w:sz w:val="20"/>
              </w:rPr>
              <w:t xml:space="preserve">4 November </w:t>
            </w:r>
            <w:r w:rsidRPr="00F46BBC">
              <w:rPr>
                <w:sz w:val="20"/>
              </w:rPr>
              <w:t>201</w:t>
            </w:r>
            <w:r>
              <w:rPr>
                <w:sz w:val="20"/>
              </w:rPr>
              <w:t>6</w:t>
            </w:r>
          </w:p>
          <w:p w:rsidR="00476733" w:rsidRPr="00F46BBC" w:rsidRDefault="00476733" w:rsidP="00476733">
            <w:pPr>
              <w:numPr>
                <w:ilvl w:val="0"/>
                <w:numId w:val="14"/>
              </w:numPr>
              <w:tabs>
                <w:tab w:val="left" w:pos="1800"/>
                <w:tab w:val="left" w:pos="5850"/>
              </w:tabs>
              <w:ind w:left="6570" w:hanging="5130"/>
              <w:rPr>
                <w:sz w:val="20"/>
              </w:rPr>
            </w:pPr>
            <w:r w:rsidRPr="00F46BBC">
              <w:rPr>
                <w:sz w:val="20"/>
              </w:rPr>
              <w:t>3</w:t>
            </w:r>
            <w:r w:rsidRPr="008859D0">
              <w:rPr>
                <w:sz w:val="20"/>
                <w:vertAlign w:val="superscript"/>
              </w:rPr>
              <w:t>rd</w:t>
            </w:r>
            <w:r w:rsidRPr="00F46BBC">
              <w:rPr>
                <w:sz w:val="20"/>
              </w:rPr>
              <w:t xml:space="preserve"> quarterly instalment due date</w:t>
            </w:r>
            <w:r w:rsidRPr="00F46BBC">
              <w:rPr>
                <w:sz w:val="20"/>
              </w:rPr>
              <w:tab/>
            </w:r>
            <w:r>
              <w:rPr>
                <w:sz w:val="20"/>
              </w:rPr>
              <w:t xml:space="preserve">6 January </w:t>
            </w:r>
            <w:r w:rsidRPr="00F46BBC">
              <w:rPr>
                <w:sz w:val="20"/>
              </w:rPr>
              <w:t>201</w:t>
            </w:r>
            <w:r>
              <w:rPr>
                <w:sz w:val="20"/>
              </w:rPr>
              <w:t>7</w:t>
            </w:r>
          </w:p>
          <w:p w:rsidR="00476733" w:rsidRPr="00EA2C12" w:rsidRDefault="00476733" w:rsidP="00476733">
            <w:pPr>
              <w:numPr>
                <w:ilvl w:val="0"/>
                <w:numId w:val="14"/>
              </w:numPr>
              <w:tabs>
                <w:tab w:val="left" w:pos="1800"/>
                <w:tab w:val="left" w:pos="5850"/>
              </w:tabs>
              <w:ind w:left="6570" w:hanging="5130"/>
            </w:pPr>
            <w:r w:rsidRPr="00F46BBC">
              <w:rPr>
                <w:sz w:val="20"/>
              </w:rPr>
              <w:t>4</w:t>
            </w:r>
            <w:r w:rsidRPr="008859D0">
              <w:rPr>
                <w:sz w:val="20"/>
                <w:vertAlign w:val="superscript"/>
              </w:rPr>
              <w:t>th</w:t>
            </w:r>
            <w:r w:rsidRPr="00F46BBC">
              <w:rPr>
                <w:sz w:val="20"/>
              </w:rPr>
              <w:t xml:space="preserve"> and final instalment due date</w:t>
            </w:r>
            <w:r w:rsidRPr="00F46BBC">
              <w:rPr>
                <w:sz w:val="20"/>
              </w:rPr>
              <w:tab/>
            </w:r>
            <w:r>
              <w:rPr>
                <w:sz w:val="20"/>
              </w:rPr>
              <w:t>10 March</w:t>
            </w:r>
            <w:r w:rsidRPr="00F46BBC">
              <w:rPr>
                <w:sz w:val="20"/>
              </w:rPr>
              <w:t xml:space="preserve"> 201</w:t>
            </w:r>
            <w:r>
              <w:rPr>
                <w:sz w:val="20"/>
              </w:rPr>
              <w:t>7</w:t>
            </w:r>
          </w:p>
          <w:p w:rsidR="00476733" w:rsidRDefault="00476733" w:rsidP="00C455B6">
            <w:pPr>
              <w:pStyle w:val="commentarybody"/>
              <w:widowControl w:val="0"/>
              <w:ind w:left="1004" w:hanging="284"/>
              <w:rPr>
                <w:rFonts w:cs="Arial"/>
                <w:sz w:val="22"/>
                <w:szCs w:val="22"/>
              </w:rPr>
            </w:pPr>
          </w:p>
          <w:p w:rsidR="00476733" w:rsidRPr="00EA2C12" w:rsidRDefault="00476733" w:rsidP="00C455B6">
            <w:pPr>
              <w:ind w:left="1440" w:hanging="720"/>
            </w:pPr>
            <w:r>
              <w:t>5</w:t>
            </w:r>
            <w:r w:rsidRPr="00EA2C12">
              <w:t>.</w:t>
            </w:r>
            <w:r w:rsidRPr="00EA2C12">
              <w:tab/>
              <w:t xml:space="preserve">Pursuant to section 6.45 of the Local Government Act 1995 and regulation 67 of the Local Government (Financial Management) Regulations 1996, </w:t>
            </w:r>
            <w:r>
              <w:t>impose</w:t>
            </w:r>
            <w:r w:rsidRPr="00EA2C12">
              <w:t xml:space="preserve"> an instalment administration charge where the owner has elected to pay rates (and service charges) through an instalment option of $</w:t>
            </w:r>
            <w:r>
              <w:t>5</w:t>
            </w:r>
            <w:r w:rsidRPr="00EA2C12">
              <w:t xml:space="preserve"> for each instalment after the initial instalment is paid.</w:t>
            </w:r>
          </w:p>
          <w:p w:rsidR="00476733" w:rsidRPr="00EA2C12" w:rsidRDefault="00476733" w:rsidP="00C455B6">
            <w:pPr>
              <w:ind w:left="1440" w:hanging="720"/>
            </w:pPr>
          </w:p>
          <w:p w:rsidR="00476733" w:rsidRDefault="00476733" w:rsidP="00C455B6">
            <w:pPr>
              <w:ind w:left="1440" w:hanging="720"/>
            </w:pPr>
            <w:r>
              <w:t>6.</w:t>
            </w:r>
            <w:r>
              <w:tab/>
            </w:r>
            <w:r w:rsidRPr="00EA2C12">
              <w:t>Pursuant to section 6.51(1) and subject to section 6.</w:t>
            </w:r>
            <w:r>
              <w:t>4</w:t>
            </w:r>
            <w:r w:rsidRPr="00EA2C12">
              <w:t>5(4)</w:t>
            </w:r>
            <w:r>
              <w:t>(e)</w:t>
            </w:r>
            <w:r w:rsidRPr="00EA2C12">
              <w:t xml:space="preserve"> of the Local Government Act 1995 and Regulation </w:t>
            </w:r>
            <w:r>
              <w:t>68</w:t>
            </w:r>
            <w:r w:rsidRPr="00EA2C12">
              <w:t xml:space="preserve"> of the Local Government (Financial Management) Regulations 1996, </w:t>
            </w:r>
            <w:r>
              <w:t>impose</w:t>
            </w:r>
            <w:r w:rsidRPr="00EA2C12">
              <w:t xml:space="preserve"> an interest rate of </w:t>
            </w:r>
            <w:r>
              <w:t>3.5</w:t>
            </w:r>
            <w:r w:rsidRPr="00EA2C12">
              <w:t>% for rates (and service charges) and costs of proceedings to recover such charges that remains unpaid after becoming due and payable</w:t>
            </w:r>
            <w:r>
              <w:t>.</w:t>
            </w:r>
          </w:p>
          <w:p w:rsidR="00476733" w:rsidRDefault="00476733" w:rsidP="00C455B6">
            <w:pPr>
              <w:ind w:left="1440" w:hanging="720"/>
            </w:pPr>
          </w:p>
          <w:p w:rsidR="00476733" w:rsidRDefault="00476733" w:rsidP="00C455B6">
            <w:pPr>
              <w:ind w:left="1440" w:hanging="720"/>
            </w:pPr>
            <w:r>
              <w:t>7.</w:t>
            </w:r>
            <w:r>
              <w:tab/>
            </w:r>
            <w:r w:rsidRPr="00EA2C12">
              <w:t xml:space="preserve">Pursuant to section 6.51(1) and subject to section 6.51(4) of the Local Government Act 1995 and Regulation 70 of the Local Government (Financial Management) Regulations 1996, </w:t>
            </w:r>
            <w:r>
              <w:t>impose</w:t>
            </w:r>
            <w:r w:rsidRPr="00EA2C12">
              <w:t xml:space="preserve"> an interest rate of </w:t>
            </w:r>
            <w:r>
              <w:t>7%</w:t>
            </w:r>
            <w:r w:rsidRPr="00EA2C12">
              <w:t xml:space="preserve"> for rates (and service charges) and costs of proceedings to recover such charges that remains unpaid after becoming due and payable.</w:t>
            </w:r>
          </w:p>
          <w:p w:rsidR="00476733" w:rsidRDefault="00476733">
            <w:pPr>
              <w:rPr>
                <w:rFonts w:cs="Arial"/>
              </w:rPr>
            </w:pPr>
          </w:p>
          <w:p w:rsidR="00476733" w:rsidRDefault="00476733" w:rsidP="00C455B6">
            <w:r>
              <w:t>(3)</w:t>
            </w:r>
            <w:r>
              <w:tab/>
              <w:t>Part D – Fees and Charges for 2016/17</w:t>
            </w:r>
          </w:p>
          <w:p w:rsidR="00476733" w:rsidRDefault="00476733" w:rsidP="00C455B6"/>
          <w:p w:rsidR="00476733" w:rsidRDefault="00476733" w:rsidP="00C455B6">
            <w:pPr>
              <w:ind w:left="720"/>
            </w:pPr>
            <w:r>
              <w:t xml:space="preserve">Pursuant to section 6.16 of the Local Government Act 1995, the </w:t>
            </w:r>
            <w:r w:rsidRPr="00EA2C12">
              <w:t xml:space="preserve">Fees and Charges </w:t>
            </w:r>
            <w:r>
              <w:t xml:space="preserve">to be </w:t>
            </w:r>
            <w:r w:rsidRPr="00EA2C12">
              <w:t xml:space="preserve">included </w:t>
            </w:r>
            <w:r>
              <w:t>incl</w:t>
            </w:r>
            <w:r w:rsidRPr="00EA2C12">
              <w:t xml:space="preserve">usive of the </w:t>
            </w:r>
            <w:r>
              <w:t>2016/17</w:t>
            </w:r>
            <w:r w:rsidRPr="00EA2C12">
              <w:t xml:space="preserve"> budget </w:t>
            </w:r>
            <w:r>
              <w:t xml:space="preserve">as attached to the </w:t>
            </w:r>
            <w:r w:rsidRPr="00EA2C12">
              <w:t>Agenda</w:t>
            </w:r>
            <w:r>
              <w:t>.</w:t>
            </w:r>
          </w:p>
          <w:p w:rsidR="00476733" w:rsidRDefault="00476733" w:rsidP="00C455B6">
            <w:pPr>
              <w:ind w:left="1440" w:hanging="720"/>
            </w:pPr>
          </w:p>
          <w:p w:rsidR="00476733" w:rsidRPr="00EA2C12" w:rsidRDefault="00476733" w:rsidP="00C455B6">
            <w:pPr>
              <w:ind w:left="720" w:hanging="720"/>
            </w:pPr>
            <w:r>
              <w:t>(4)</w:t>
            </w:r>
            <w:r>
              <w:tab/>
            </w:r>
            <w:r w:rsidRPr="00EA2C12">
              <w:t xml:space="preserve">Part </w:t>
            </w:r>
            <w:r>
              <w:t>E</w:t>
            </w:r>
            <w:r w:rsidRPr="00EA2C12">
              <w:t xml:space="preserve"> – Statutory </w:t>
            </w:r>
            <w:r>
              <w:t xml:space="preserve">and Other </w:t>
            </w:r>
            <w:r w:rsidRPr="00EA2C12">
              <w:t xml:space="preserve">Fees </w:t>
            </w:r>
            <w:r>
              <w:t>f</w:t>
            </w:r>
            <w:r w:rsidRPr="00EA2C12">
              <w:t xml:space="preserve">or </w:t>
            </w:r>
            <w:r>
              <w:t>2016/17</w:t>
            </w:r>
          </w:p>
          <w:p w:rsidR="00476733" w:rsidRDefault="00476733" w:rsidP="00C455B6">
            <w:pPr>
              <w:ind w:left="1440" w:hanging="720"/>
            </w:pPr>
          </w:p>
          <w:p w:rsidR="00476733" w:rsidRPr="00EA2C12" w:rsidRDefault="00476733" w:rsidP="00C455B6">
            <w:pPr>
              <w:ind w:left="1440" w:hanging="720"/>
            </w:pPr>
            <w:r>
              <w:t>1.</w:t>
            </w:r>
            <w:r w:rsidRPr="00EA2C12">
              <w:tab/>
              <w:t xml:space="preserve">Pursuant to section </w:t>
            </w:r>
            <w:proofErr w:type="gramStart"/>
            <w:r w:rsidRPr="00EA2C12">
              <w:t>245A(</w:t>
            </w:r>
            <w:proofErr w:type="gramEnd"/>
            <w:r w:rsidRPr="00EA2C12">
              <w:t xml:space="preserve">8) of the Local Government </w:t>
            </w:r>
            <w:r w:rsidRPr="00EA2C12">
              <w:lastRenderedPageBreak/>
              <w:t xml:space="preserve">(Miscellaneous Provisions) Act 1960 </w:t>
            </w:r>
            <w:r>
              <w:t>impose</w:t>
            </w:r>
            <w:r w:rsidRPr="00EA2C12">
              <w:t xml:space="preserve"> a swimming pool inspection fee of $</w:t>
            </w:r>
            <w:r>
              <w:t>36.6</w:t>
            </w:r>
            <w:r w:rsidRPr="006570A4">
              <w:t>0  (GST</w:t>
            </w:r>
            <w:r>
              <w:t xml:space="preserve"> is not applicable)</w:t>
            </w:r>
            <w:r w:rsidRPr="00EA2C12">
              <w:t>.</w:t>
            </w:r>
          </w:p>
          <w:p w:rsidR="00476733" w:rsidRPr="00EA2C12" w:rsidRDefault="00476733" w:rsidP="00C455B6">
            <w:pPr>
              <w:ind w:left="720"/>
            </w:pPr>
          </w:p>
          <w:p w:rsidR="00476733" w:rsidRPr="00EA2C12" w:rsidRDefault="00476733" w:rsidP="00C455B6">
            <w:pPr>
              <w:ind w:left="1440" w:hanging="720"/>
            </w:pPr>
            <w:r>
              <w:t>2</w:t>
            </w:r>
            <w:r w:rsidRPr="00EA2C12">
              <w:t>.</w:t>
            </w:r>
            <w:r w:rsidRPr="00EA2C12">
              <w:tab/>
              <w:t xml:space="preserve">Pursuant to section 67 of the Waste Avoidance and Resources Recovery Act 2007, </w:t>
            </w:r>
            <w:r>
              <w:t>impose</w:t>
            </w:r>
            <w:r w:rsidRPr="00EA2C12">
              <w:t xml:space="preserve"> the following charges for the removal and deposit of domestic waste:</w:t>
            </w:r>
          </w:p>
          <w:p w:rsidR="00476733" w:rsidRPr="00942601" w:rsidRDefault="00476733" w:rsidP="00C455B6">
            <w:pPr>
              <w:ind w:left="720"/>
              <w:rPr>
                <w:rFonts w:cs="Arial"/>
                <w:szCs w:val="24"/>
              </w:rPr>
            </w:pPr>
          </w:p>
          <w:p w:rsidR="00476733" w:rsidRPr="00942601" w:rsidRDefault="00476733" w:rsidP="00C455B6">
            <w:pPr>
              <w:pStyle w:val="commentarybody"/>
              <w:widowControl w:val="0"/>
              <w:ind w:left="2138" w:hanging="698"/>
              <w:rPr>
                <w:rFonts w:ascii="Arial" w:hAnsi="Arial" w:cs="Arial"/>
                <w:sz w:val="24"/>
                <w:szCs w:val="24"/>
              </w:rPr>
            </w:pPr>
            <w:r>
              <w:rPr>
                <w:rFonts w:ascii="Arial" w:hAnsi="Arial" w:cs="Arial"/>
                <w:sz w:val="24"/>
                <w:szCs w:val="24"/>
              </w:rPr>
              <w:t>(a)</w:t>
            </w:r>
            <w:r>
              <w:rPr>
                <w:rFonts w:ascii="Arial" w:hAnsi="Arial" w:cs="Arial"/>
                <w:sz w:val="24"/>
                <w:szCs w:val="24"/>
              </w:rPr>
              <w:tab/>
              <w:t>All Non-R</w:t>
            </w:r>
            <w:r w:rsidRPr="00942601">
              <w:rPr>
                <w:rFonts w:ascii="Arial" w:hAnsi="Arial" w:cs="Arial"/>
                <w:sz w:val="24"/>
                <w:szCs w:val="24"/>
              </w:rPr>
              <w:t xml:space="preserve">esidential </w:t>
            </w:r>
            <w:r>
              <w:rPr>
                <w:rFonts w:ascii="Arial" w:hAnsi="Arial" w:cs="Arial"/>
                <w:sz w:val="24"/>
                <w:szCs w:val="24"/>
              </w:rPr>
              <w:t xml:space="preserve">Improved </w:t>
            </w:r>
            <w:r w:rsidRPr="00942601">
              <w:rPr>
                <w:rFonts w:ascii="Arial" w:hAnsi="Arial" w:cs="Arial"/>
                <w:sz w:val="24"/>
                <w:szCs w:val="24"/>
              </w:rPr>
              <w:t>Premises (including recycling)</w:t>
            </w:r>
          </w:p>
          <w:p w:rsidR="00476733" w:rsidRPr="00942601" w:rsidRDefault="00476733" w:rsidP="00476733">
            <w:pPr>
              <w:pStyle w:val="commentarybody"/>
              <w:widowControl w:val="0"/>
              <w:numPr>
                <w:ilvl w:val="0"/>
                <w:numId w:val="15"/>
              </w:numPr>
              <w:tabs>
                <w:tab w:val="clear" w:pos="1495"/>
                <w:tab w:val="num" w:pos="2498"/>
              </w:tabs>
              <w:ind w:left="2498"/>
              <w:rPr>
                <w:rFonts w:ascii="Arial" w:hAnsi="Arial" w:cs="Arial"/>
                <w:sz w:val="24"/>
                <w:szCs w:val="24"/>
              </w:rPr>
            </w:pPr>
            <w:r w:rsidRPr="00942601">
              <w:rPr>
                <w:rFonts w:ascii="Arial" w:hAnsi="Arial" w:cs="Arial"/>
                <w:sz w:val="24"/>
                <w:szCs w:val="24"/>
              </w:rPr>
              <w:t>2</w:t>
            </w:r>
            <w:r>
              <w:rPr>
                <w:rFonts w:ascii="Arial" w:hAnsi="Arial" w:cs="Arial"/>
                <w:sz w:val="24"/>
                <w:szCs w:val="24"/>
              </w:rPr>
              <w:t>40ltr bin per weekly collection</w:t>
            </w:r>
            <w:r w:rsidRPr="00942601">
              <w:rPr>
                <w:rFonts w:ascii="Arial" w:hAnsi="Arial" w:cs="Arial"/>
                <w:sz w:val="24"/>
                <w:szCs w:val="24"/>
              </w:rPr>
              <w:t xml:space="preserve"> - $</w:t>
            </w:r>
            <w:r>
              <w:rPr>
                <w:rFonts w:ascii="Arial" w:hAnsi="Arial" w:cs="Arial"/>
                <w:sz w:val="24"/>
                <w:szCs w:val="24"/>
              </w:rPr>
              <w:t>458</w:t>
            </w:r>
            <w:r w:rsidRPr="00942601">
              <w:rPr>
                <w:rFonts w:ascii="Arial" w:hAnsi="Arial" w:cs="Arial"/>
                <w:sz w:val="24"/>
                <w:szCs w:val="24"/>
              </w:rPr>
              <w:t xml:space="preserve"> p.a.</w:t>
            </w:r>
          </w:p>
          <w:p w:rsidR="00476733" w:rsidRPr="00942601" w:rsidRDefault="00476733" w:rsidP="00476733">
            <w:pPr>
              <w:pStyle w:val="commentarybody"/>
              <w:widowControl w:val="0"/>
              <w:numPr>
                <w:ilvl w:val="0"/>
                <w:numId w:val="15"/>
              </w:numPr>
              <w:tabs>
                <w:tab w:val="clear" w:pos="1495"/>
                <w:tab w:val="num" w:pos="2498"/>
              </w:tabs>
              <w:ind w:left="2498"/>
              <w:rPr>
                <w:rFonts w:ascii="Arial" w:hAnsi="Arial" w:cs="Arial"/>
                <w:sz w:val="24"/>
                <w:szCs w:val="24"/>
              </w:rPr>
            </w:pPr>
            <w:r w:rsidRPr="00942601">
              <w:rPr>
                <w:rFonts w:ascii="Arial" w:hAnsi="Arial" w:cs="Arial"/>
                <w:sz w:val="24"/>
                <w:szCs w:val="24"/>
              </w:rPr>
              <w:t>240ltr bin per weekly collect</w:t>
            </w:r>
            <w:r>
              <w:rPr>
                <w:rFonts w:ascii="Arial" w:hAnsi="Arial" w:cs="Arial"/>
                <w:sz w:val="24"/>
                <w:szCs w:val="24"/>
              </w:rPr>
              <w:t>ion (rate exempt properties) - $510</w:t>
            </w:r>
            <w:r w:rsidRPr="00942601">
              <w:rPr>
                <w:rFonts w:ascii="Arial" w:hAnsi="Arial" w:cs="Arial"/>
                <w:sz w:val="24"/>
                <w:szCs w:val="24"/>
              </w:rPr>
              <w:t xml:space="preserve"> p.a.</w:t>
            </w:r>
          </w:p>
          <w:p w:rsidR="00476733" w:rsidRPr="00942601" w:rsidRDefault="00476733" w:rsidP="00C455B6">
            <w:pPr>
              <w:pStyle w:val="commentarybody"/>
              <w:widowControl w:val="0"/>
              <w:ind w:left="720"/>
              <w:rPr>
                <w:rFonts w:ascii="Arial" w:hAnsi="Arial" w:cs="Arial"/>
                <w:sz w:val="24"/>
                <w:szCs w:val="24"/>
              </w:rPr>
            </w:pPr>
          </w:p>
          <w:p w:rsidR="00476733" w:rsidRDefault="00476733" w:rsidP="00C455B6">
            <w:pPr>
              <w:ind w:left="1440" w:hanging="720"/>
              <w:rPr>
                <w:rFonts w:cs="Arial"/>
                <w:szCs w:val="24"/>
              </w:rPr>
            </w:pPr>
            <w:r>
              <w:rPr>
                <w:rFonts w:cs="Arial"/>
                <w:szCs w:val="24"/>
              </w:rPr>
              <w:t>3</w:t>
            </w:r>
            <w:r w:rsidRPr="00942601">
              <w:rPr>
                <w:rFonts w:cs="Arial"/>
                <w:szCs w:val="24"/>
              </w:rPr>
              <w:t>.</w:t>
            </w:r>
            <w:r w:rsidRPr="00942601">
              <w:rPr>
                <w:rFonts w:cs="Arial"/>
                <w:szCs w:val="24"/>
              </w:rPr>
              <w:tab/>
            </w:r>
            <w:r>
              <w:rPr>
                <w:rFonts w:cs="Arial"/>
                <w:szCs w:val="24"/>
              </w:rPr>
              <w:t>Pursuant to section 6.38(1) of the Local Government Act and Regulations 54(c) of the Local Government (Financial Management Regulations 1996) impose the following service charges for the provision of underground electricity (</w:t>
            </w:r>
            <w:proofErr w:type="spellStart"/>
            <w:r>
              <w:rPr>
                <w:rFonts w:cs="Arial"/>
                <w:szCs w:val="24"/>
              </w:rPr>
              <w:t>UGP</w:t>
            </w:r>
            <w:proofErr w:type="spellEnd"/>
            <w:r>
              <w:rPr>
                <w:rFonts w:cs="Arial"/>
                <w:szCs w:val="24"/>
              </w:rPr>
              <w:t>):</w:t>
            </w:r>
          </w:p>
          <w:p w:rsidR="00476733" w:rsidRDefault="00476733" w:rsidP="00C455B6">
            <w:pPr>
              <w:ind w:left="1440" w:hanging="720"/>
              <w:rPr>
                <w:rFonts w:cs="Arial"/>
                <w:szCs w:val="24"/>
              </w:rPr>
            </w:pPr>
          </w:p>
          <w:p w:rsidR="00476733" w:rsidRDefault="00476733" w:rsidP="00C455B6">
            <w:pPr>
              <w:pStyle w:val="commentarybody"/>
              <w:widowControl w:val="0"/>
              <w:ind w:left="2160" w:hanging="720"/>
              <w:jc w:val="both"/>
              <w:rPr>
                <w:rFonts w:ascii="Arial" w:hAnsi="Arial" w:cs="Arial"/>
                <w:sz w:val="24"/>
                <w:szCs w:val="24"/>
              </w:rPr>
            </w:pPr>
            <w:r>
              <w:rPr>
                <w:rFonts w:ascii="Arial" w:hAnsi="Arial" w:cs="Arial"/>
                <w:sz w:val="24"/>
                <w:szCs w:val="24"/>
              </w:rPr>
              <w:t>(a)</w:t>
            </w:r>
            <w:r>
              <w:rPr>
                <w:rFonts w:ascii="Arial" w:hAnsi="Arial" w:cs="Arial"/>
                <w:sz w:val="24"/>
                <w:szCs w:val="24"/>
              </w:rPr>
              <w:tab/>
              <w:t>Rateable property/dwelling $3,050, with the following discounts:</w:t>
            </w:r>
          </w:p>
          <w:p w:rsidR="00476733" w:rsidRDefault="00476733" w:rsidP="00C455B6">
            <w:pPr>
              <w:pStyle w:val="commentarybody"/>
              <w:widowControl w:val="0"/>
              <w:ind w:left="2520" w:hanging="360"/>
              <w:jc w:val="both"/>
              <w:rPr>
                <w:rFonts w:ascii="Arial" w:hAnsi="Arial" w:cs="Arial"/>
                <w:sz w:val="24"/>
                <w:szCs w:val="24"/>
              </w:rPr>
            </w:pPr>
            <w:r>
              <w:rPr>
                <w:rFonts w:ascii="Arial" w:hAnsi="Arial" w:cs="Arial"/>
                <w:sz w:val="24"/>
                <w:szCs w:val="24"/>
              </w:rPr>
              <w:t>•</w:t>
            </w:r>
            <w:r>
              <w:rPr>
                <w:rFonts w:ascii="Arial" w:hAnsi="Arial" w:cs="Arial"/>
                <w:sz w:val="24"/>
                <w:szCs w:val="24"/>
              </w:rPr>
              <w:tab/>
              <w:t>$500 where a property already has a connection between the property boundary and the meter box.</w:t>
            </w:r>
          </w:p>
          <w:p w:rsidR="00476733" w:rsidRDefault="00476733" w:rsidP="00C455B6">
            <w:pPr>
              <w:pStyle w:val="commentarybody"/>
              <w:widowControl w:val="0"/>
              <w:ind w:left="2520" w:hanging="360"/>
              <w:jc w:val="both"/>
              <w:rPr>
                <w:rFonts w:ascii="Arial" w:hAnsi="Arial" w:cs="Arial"/>
                <w:sz w:val="24"/>
                <w:szCs w:val="24"/>
              </w:rPr>
            </w:pPr>
            <w:r>
              <w:rPr>
                <w:rFonts w:ascii="Arial" w:hAnsi="Arial" w:cs="Arial"/>
                <w:sz w:val="24"/>
                <w:szCs w:val="24"/>
              </w:rPr>
              <w:t>•</w:t>
            </w:r>
            <w:r>
              <w:rPr>
                <w:rFonts w:ascii="Arial" w:hAnsi="Arial" w:cs="Arial"/>
                <w:sz w:val="24"/>
                <w:szCs w:val="24"/>
              </w:rPr>
              <w:tab/>
              <w:t>A 50% rebate for registered pensioners as provided by the State Revenue Department.</w:t>
            </w:r>
          </w:p>
          <w:p w:rsidR="00476733" w:rsidRDefault="00476733" w:rsidP="00C455B6">
            <w:pPr>
              <w:pStyle w:val="commentarybody"/>
              <w:widowControl w:val="0"/>
              <w:ind w:left="2520" w:hanging="360"/>
              <w:jc w:val="both"/>
              <w:rPr>
                <w:rFonts w:ascii="Arial" w:hAnsi="Arial" w:cs="Arial"/>
                <w:sz w:val="24"/>
                <w:szCs w:val="24"/>
              </w:rPr>
            </w:pPr>
            <w:r>
              <w:rPr>
                <w:rFonts w:ascii="Arial" w:hAnsi="Arial" w:cs="Arial"/>
                <w:sz w:val="24"/>
                <w:szCs w:val="24"/>
              </w:rPr>
              <w:t>•</w:t>
            </w:r>
            <w:r>
              <w:rPr>
                <w:rFonts w:ascii="Arial" w:hAnsi="Arial" w:cs="Arial"/>
                <w:sz w:val="24"/>
                <w:szCs w:val="24"/>
              </w:rPr>
              <w:tab/>
              <w:t>A $257.45 or equivalent rebate for registered Seniors as provided by State Revenue Department.</w:t>
            </w:r>
          </w:p>
          <w:p w:rsidR="00476733" w:rsidRDefault="00476733" w:rsidP="00C455B6">
            <w:pPr>
              <w:pStyle w:val="commentarybody"/>
              <w:widowControl w:val="0"/>
              <w:ind w:left="2520" w:hanging="360"/>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A 50% discount where properties have </w:t>
            </w:r>
            <w:proofErr w:type="spellStart"/>
            <w:r>
              <w:rPr>
                <w:rFonts w:ascii="Arial" w:hAnsi="Arial" w:cs="Arial"/>
                <w:sz w:val="24"/>
                <w:szCs w:val="24"/>
              </w:rPr>
              <w:t>HV</w:t>
            </w:r>
            <w:proofErr w:type="spellEnd"/>
            <w:r>
              <w:rPr>
                <w:rFonts w:ascii="Arial" w:hAnsi="Arial" w:cs="Arial"/>
                <w:sz w:val="24"/>
                <w:szCs w:val="24"/>
              </w:rPr>
              <w:t xml:space="preserve"> power lines in front of their property remaining after the completion of work for underground electricity.</w:t>
            </w:r>
          </w:p>
          <w:p w:rsidR="00476733" w:rsidRDefault="00476733" w:rsidP="00C455B6">
            <w:pPr>
              <w:pStyle w:val="commentarybody"/>
              <w:widowControl w:val="0"/>
              <w:ind w:left="2520" w:hanging="360"/>
              <w:jc w:val="both"/>
              <w:rPr>
                <w:rFonts w:ascii="Arial" w:hAnsi="Arial" w:cs="Arial"/>
                <w:sz w:val="24"/>
                <w:szCs w:val="24"/>
              </w:rPr>
            </w:pPr>
            <w:r>
              <w:rPr>
                <w:rFonts w:ascii="Arial" w:hAnsi="Arial" w:cs="Arial"/>
                <w:sz w:val="24"/>
                <w:szCs w:val="24"/>
              </w:rPr>
              <w:t>•</w:t>
            </w:r>
            <w:r>
              <w:rPr>
                <w:rFonts w:ascii="Arial" w:hAnsi="Arial" w:cs="Arial"/>
                <w:sz w:val="24"/>
                <w:szCs w:val="24"/>
              </w:rPr>
              <w:tab/>
              <w:t>The service charge applicable for non-standard commercial properties to be provided by Western Power.</w:t>
            </w:r>
          </w:p>
          <w:p w:rsidR="00476733" w:rsidRDefault="00476733" w:rsidP="00C455B6">
            <w:pPr>
              <w:pStyle w:val="commentarybody"/>
              <w:widowControl w:val="0"/>
              <w:ind w:left="2520" w:hanging="360"/>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Owners in the existing </w:t>
            </w:r>
            <w:proofErr w:type="spellStart"/>
            <w:r>
              <w:rPr>
                <w:rFonts w:ascii="Arial" w:hAnsi="Arial" w:cs="Arial"/>
                <w:sz w:val="24"/>
                <w:szCs w:val="24"/>
              </w:rPr>
              <w:t>UGP</w:t>
            </w:r>
            <w:proofErr w:type="spellEnd"/>
            <w:r>
              <w:rPr>
                <w:rFonts w:ascii="Arial" w:hAnsi="Arial" w:cs="Arial"/>
                <w:sz w:val="24"/>
                <w:szCs w:val="24"/>
              </w:rPr>
              <w:t xml:space="preserve"> project areas have the right to pay upfront or receive an account equal to one fifth of the above fee payable annually.</w:t>
            </w:r>
          </w:p>
          <w:p w:rsidR="00476733" w:rsidRDefault="00476733" w:rsidP="00C455B6">
            <w:pPr>
              <w:pStyle w:val="commentarybody"/>
              <w:widowControl w:val="0"/>
              <w:ind w:left="2520" w:hanging="360"/>
              <w:jc w:val="both"/>
              <w:rPr>
                <w:rFonts w:ascii="Arial" w:hAnsi="Arial" w:cs="Arial"/>
                <w:sz w:val="24"/>
                <w:szCs w:val="24"/>
              </w:rPr>
            </w:pPr>
          </w:p>
          <w:p w:rsidR="00476733" w:rsidRDefault="00476733" w:rsidP="00C455B6">
            <w:pPr>
              <w:pStyle w:val="commentarybody"/>
              <w:widowControl w:val="0"/>
              <w:ind w:left="720"/>
              <w:jc w:val="both"/>
              <w:rPr>
                <w:rFonts w:ascii="Arial" w:hAnsi="Arial" w:cs="Arial"/>
                <w:sz w:val="24"/>
                <w:szCs w:val="24"/>
              </w:rPr>
            </w:pPr>
            <w:r>
              <w:rPr>
                <w:rFonts w:ascii="Arial" w:hAnsi="Arial" w:cs="Arial"/>
                <w:sz w:val="24"/>
                <w:szCs w:val="24"/>
              </w:rPr>
              <w:t>4.</w:t>
            </w:r>
            <w:r>
              <w:rPr>
                <w:rFonts w:ascii="Arial" w:hAnsi="Arial" w:cs="Arial"/>
                <w:sz w:val="24"/>
                <w:szCs w:val="24"/>
              </w:rPr>
              <w:tab/>
              <w:t>Creation of two new reserves:</w:t>
            </w:r>
          </w:p>
          <w:p w:rsidR="00476733" w:rsidRDefault="00476733" w:rsidP="00C455B6">
            <w:pPr>
              <w:pStyle w:val="commentarybody"/>
              <w:widowControl w:val="0"/>
              <w:ind w:left="720"/>
              <w:jc w:val="both"/>
              <w:rPr>
                <w:rFonts w:ascii="Arial" w:hAnsi="Arial" w:cs="Arial"/>
                <w:sz w:val="24"/>
                <w:szCs w:val="24"/>
              </w:rPr>
            </w:pPr>
          </w:p>
          <w:p w:rsidR="00476733" w:rsidRDefault="00476733" w:rsidP="00476733">
            <w:pPr>
              <w:pStyle w:val="commentarybody"/>
              <w:widowControl w:val="0"/>
              <w:numPr>
                <w:ilvl w:val="0"/>
                <w:numId w:val="16"/>
              </w:numPr>
              <w:tabs>
                <w:tab w:val="left" w:pos="1980"/>
              </w:tabs>
              <w:ind w:left="1980" w:hanging="540"/>
              <w:jc w:val="both"/>
              <w:rPr>
                <w:rFonts w:ascii="Arial" w:hAnsi="Arial" w:cs="Arial"/>
                <w:sz w:val="24"/>
                <w:szCs w:val="24"/>
              </w:rPr>
            </w:pPr>
            <w:r>
              <w:rPr>
                <w:rFonts w:ascii="Arial" w:hAnsi="Arial" w:cs="Arial"/>
                <w:sz w:val="24"/>
                <w:szCs w:val="24"/>
              </w:rPr>
              <w:t>Port Coogee Waterways (Waterways Environmental Management Plan (</w:t>
            </w:r>
            <w:proofErr w:type="spellStart"/>
            <w:r>
              <w:rPr>
                <w:rFonts w:ascii="Arial" w:hAnsi="Arial" w:cs="Arial"/>
                <w:sz w:val="24"/>
                <w:szCs w:val="24"/>
              </w:rPr>
              <w:t>WEMP</w:t>
            </w:r>
            <w:proofErr w:type="spellEnd"/>
            <w:r>
              <w:rPr>
                <w:rFonts w:ascii="Arial" w:hAnsi="Arial" w:cs="Arial"/>
                <w:sz w:val="24"/>
                <w:szCs w:val="24"/>
              </w:rPr>
              <w:t xml:space="preserve">)) Reserve No.2 – Provide funding for the maintenance of the waterways surrounding Port Coogee marina and associated infrastructure. This is funded from the cash backed depreciation charge taken by Council on the gifted assets of the marina and surrounding </w:t>
            </w:r>
            <w:r>
              <w:rPr>
                <w:rFonts w:ascii="Arial" w:hAnsi="Arial" w:cs="Arial"/>
                <w:sz w:val="24"/>
                <w:szCs w:val="24"/>
              </w:rPr>
              <w:lastRenderedPageBreak/>
              <w:t>waterways and infrastructure assets.</w:t>
            </w:r>
          </w:p>
          <w:p w:rsidR="00476733" w:rsidRDefault="00476733" w:rsidP="00C455B6">
            <w:pPr>
              <w:pStyle w:val="commentarybody"/>
              <w:widowControl w:val="0"/>
              <w:tabs>
                <w:tab w:val="left" w:pos="1980"/>
              </w:tabs>
              <w:ind w:left="1980" w:hanging="540"/>
              <w:jc w:val="both"/>
              <w:rPr>
                <w:rFonts w:ascii="Arial" w:hAnsi="Arial" w:cs="Arial"/>
                <w:sz w:val="24"/>
                <w:szCs w:val="24"/>
              </w:rPr>
            </w:pPr>
          </w:p>
          <w:p w:rsidR="00476733" w:rsidRDefault="00476733" w:rsidP="00476733">
            <w:pPr>
              <w:pStyle w:val="commentarybody"/>
              <w:widowControl w:val="0"/>
              <w:numPr>
                <w:ilvl w:val="0"/>
                <w:numId w:val="16"/>
              </w:numPr>
              <w:tabs>
                <w:tab w:val="left" w:pos="1980"/>
              </w:tabs>
              <w:ind w:left="1980" w:hanging="540"/>
              <w:jc w:val="both"/>
              <w:rPr>
                <w:rFonts w:ascii="Arial" w:hAnsi="Arial" w:cs="Arial"/>
                <w:sz w:val="24"/>
                <w:szCs w:val="24"/>
              </w:rPr>
            </w:pPr>
            <w:r>
              <w:rPr>
                <w:rFonts w:ascii="Arial" w:hAnsi="Arial" w:cs="Arial"/>
                <w:sz w:val="24"/>
                <w:szCs w:val="24"/>
              </w:rPr>
              <w:t>Port Coogee Waterways Specified Area Rate (SAR) Reserve - Provide funding for the maintenance of the waterways surrounding Port Coogee marina and associated infrastructure. This is funded from the specified area rate levied on land directly adjacent to the waterways.</w:t>
            </w:r>
          </w:p>
          <w:p w:rsidR="00476733" w:rsidRDefault="00476733" w:rsidP="00C455B6">
            <w:pPr>
              <w:pStyle w:val="commentarybody"/>
              <w:widowControl w:val="0"/>
              <w:tabs>
                <w:tab w:val="left" w:pos="1980"/>
              </w:tabs>
              <w:jc w:val="both"/>
              <w:rPr>
                <w:rFonts w:ascii="Arial" w:hAnsi="Arial" w:cs="Arial"/>
                <w:sz w:val="24"/>
                <w:szCs w:val="24"/>
              </w:rPr>
            </w:pPr>
          </w:p>
          <w:p w:rsidR="00476733" w:rsidRDefault="00476733" w:rsidP="00C455B6">
            <w:pPr>
              <w:pStyle w:val="commentarybody"/>
              <w:widowControl w:val="0"/>
              <w:ind w:left="1440" w:hanging="720"/>
              <w:jc w:val="both"/>
              <w:rPr>
                <w:rFonts w:ascii="Arial" w:hAnsi="Arial" w:cs="Arial"/>
                <w:sz w:val="24"/>
                <w:szCs w:val="24"/>
              </w:rPr>
            </w:pPr>
            <w:r>
              <w:rPr>
                <w:rFonts w:ascii="Arial" w:hAnsi="Arial" w:cs="Arial"/>
                <w:sz w:val="24"/>
                <w:szCs w:val="24"/>
              </w:rPr>
              <w:t>5.</w:t>
            </w:r>
            <w:r>
              <w:rPr>
                <w:rFonts w:ascii="Arial" w:hAnsi="Arial" w:cs="Arial"/>
                <w:sz w:val="24"/>
                <w:szCs w:val="24"/>
              </w:rPr>
              <w:tab/>
              <w:t xml:space="preserve">Rename the </w:t>
            </w:r>
            <w:r w:rsidRPr="00A758F5">
              <w:rPr>
                <w:rFonts w:ascii="Bookman Old Style" w:hAnsi="Bookman Old Style" w:cs="Arial"/>
                <w:i/>
                <w:sz w:val="24"/>
                <w:szCs w:val="24"/>
              </w:rPr>
              <w:t>Workers Compensation Reserve</w:t>
            </w:r>
            <w:r>
              <w:rPr>
                <w:rFonts w:ascii="Arial" w:hAnsi="Arial" w:cs="Arial"/>
                <w:sz w:val="24"/>
                <w:szCs w:val="24"/>
              </w:rPr>
              <w:t xml:space="preserve"> to </w:t>
            </w:r>
            <w:r w:rsidRPr="00A758F5">
              <w:rPr>
                <w:rFonts w:ascii="Bookman Old Style" w:hAnsi="Bookman Old Style" w:cs="Arial"/>
                <w:i/>
                <w:sz w:val="24"/>
                <w:szCs w:val="24"/>
              </w:rPr>
              <w:t>Insurance Reserve</w:t>
            </w:r>
            <w:r>
              <w:rPr>
                <w:rFonts w:ascii="Arial" w:hAnsi="Arial" w:cs="Arial"/>
                <w:sz w:val="24"/>
                <w:szCs w:val="24"/>
              </w:rPr>
              <w:t xml:space="preserve"> and broaden its purpose to smoothing out any significant variations in annual premiums associated with the </w:t>
            </w:r>
            <w:proofErr w:type="spellStart"/>
            <w:r>
              <w:rPr>
                <w:rFonts w:ascii="Arial" w:hAnsi="Arial" w:cs="Arial"/>
                <w:sz w:val="24"/>
                <w:szCs w:val="24"/>
              </w:rPr>
              <w:t>LGIS</w:t>
            </w:r>
            <w:proofErr w:type="spellEnd"/>
            <w:r>
              <w:rPr>
                <w:rFonts w:ascii="Arial" w:hAnsi="Arial" w:cs="Arial"/>
                <w:sz w:val="24"/>
                <w:szCs w:val="24"/>
              </w:rPr>
              <w:t xml:space="preserve"> self-insurance scheme.</w:t>
            </w:r>
          </w:p>
          <w:p w:rsidR="00476733" w:rsidRDefault="00476733" w:rsidP="00C455B6">
            <w:pPr>
              <w:pStyle w:val="commentarybody"/>
              <w:widowControl w:val="0"/>
              <w:ind w:left="0"/>
              <w:jc w:val="both"/>
              <w:rPr>
                <w:rFonts w:ascii="Arial" w:hAnsi="Arial" w:cs="Arial"/>
                <w:sz w:val="24"/>
                <w:szCs w:val="24"/>
              </w:rPr>
            </w:pPr>
          </w:p>
          <w:p w:rsidR="00476733" w:rsidRPr="00C544AF" w:rsidRDefault="00476733" w:rsidP="00C455B6">
            <w:pPr>
              <w:pStyle w:val="commentarybody"/>
              <w:widowControl w:val="0"/>
              <w:ind w:left="360" w:hanging="360"/>
              <w:jc w:val="right"/>
              <w:rPr>
                <w:rFonts w:ascii="Arial" w:hAnsi="Arial" w:cs="Arial"/>
                <w:sz w:val="24"/>
                <w:szCs w:val="24"/>
              </w:rPr>
            </w:pPr>
            <w:r w:rsidRPr="00C544AF">
              <w:rPr>
                <w:rFonts w:ascii="Arial" w:hAnsi="Arial" w:cs="Arial"/>
                <w:b/>
                <w:sz w:val="24"/>
                <w:szCs w:val="24"/>
                <w:lang w:eastAsia="en-AU"/>
              </w:rPr>
              <w:t>TO BE CARRIED BY AN ABSOLUTE MAJORITY OF COUNCIL</w:t>
            </w:r>
          </w:p>
          <w:p w:rsidR="00476733" w:rsidRDefault="00476733" w:rsidP="00C455B6">
            <w:pPr>
              <w:pStyle w:val="CommentText"/>
              <w:tabs>
                <w:tab w:val="left" w:pos="720"/>
                <w:tab w:val="left" w:pos="1440"/>
              </w:tabs>
              <w:rPr>
                <w:bCs/>
              </w:rPr>
            </w:pPr>
          </w:p>
        </w:tc>
      </w:tr>
    </w:tbl>
    <w:p w:rsidR="00476733" w:rsidRDefault="00476733" w:rsidP="00C455B6">
      <w:pPr>
        <w:tabs>
          <w:tab w:val="left" w:pos="720"/>
          <w:tab w:val="left" w:pos="1440"/>
        </w:tabs>
        <w:ind w:left="1440"/>
      </w:pPr>
    </w:p>
    <w:p w:rsidR="00476733" w:rsidRDefault="00476733" w:rsidP="00C455B6">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rsidTr="00C455B6">
        <w:tc>
          <w:tcPr>
            <w:tcW w:w="7785" w:type="dxa"/>
          </w:tcPr>
          <w:p w:rsidR="00476733" w:rsidRDefault="00476733" w:rsidP="00C455B6">
            <w:pPr>
              <w:tabs>
                <w:tab w:val="left" w:pos="720"/>
                <w:tab w:val="left" w:pos="1440"/>
              </w:tabs>
              <w:rPr>
                <w:b/>
              </w:rPr>
            </w:pPr>
            <w:r>
              <w:rPr>
                <w:b/>
              </w:rPr>
              <w:t>COUNCIL DECISION</w:t>
            </w:r>
          </w:p>
          <w:p w:rsidR="00476733" w:rsidRPr="00F150A0" w:rsidRDefault="00476733">
            <w:pPr>
              <w:rPr>
                <w:rFonts w:cs="Arial"/>
              </w:rPr>
            </w:pPr>
            <w:r>
              <w:rPr>
                <w:noProof/>
                <w:lang w:val="en-US"/>
              </w:rPr>
              <w:t xml:space="preserve">MOVED </w:t>
            </w:r>
            <w:r w:rsidRPr="00660D0E">
              <w:rPr>
                <w:noProof/>
                <w:lang w:val="en-US"/>
              </w:rPr>
              <w:t>Clr</w:t>
            </w:r>
            <w:r>
              <w:rPr>
                <w:lang w:val="en-US"/>
              </w:rPr>
              <w:t xml:space="preserve"> </w:t>
            </w:r>
            <w:r w:rsidRPr="00660D0E">
              <w:rPr>
                <w:noProof/>
                <w:lang w:val="en-US"/>
              </w:rPr>
              <w:t>C Terblanche</w:t>
            </w:r>
            <w:r>
              <w:rPr>
                <w:lang w:val="en-US"/>
              </w:rPr>
              <w:t xml:space="preserve"> </w:t>
            </w:r>
            <w:r>
              <w:rPr>
                <w:noProof/>
                <w:lang w:val="en-US"/>
              </w:rPr>
              <w:t xml:space="preserve">SECONDED </w:t>
            </w:r>
            <w:r w:rsidRPr="00660D0E">
              <w:rPr>
                <w:noProof/>
                <w:lang w:val="en-US"/>
              </w:rPr>
              <w:t>Clr</w:t>
            </w:r>
            <w:r>
              <w:rPr>
                <w:lang w:val="en-US"/>
              </w:rPr>
              <w:t xml:space="preserve"> </w:t>
            </w:r>
            <w:r w:rsidRPr="00660D0E">
              <w:rPr>
                <w:noProof/>
                <w:lang w:val="en-US"/>
              </w:rPr>
              <w:t>P Eva</w:t>
            </w:r>
            <w:r>
              <w:rPr>
                <w:noProof/>
                <w:lang w:val="en-US"/>
              </w:rPr>
              <w:t xml:space="preserve"> that </w:t>
            </w:r>
            <w:r>
              <w:rPr>
                <w:rFonts w:cs="Arial"/>
              </w:rPr>
              <w:t>the recommendation be adopted.</w:t>
            </w:r>
          </w:p>
          <w:p w:rsidR="00476733" w:rsidRDefault="00476733" w:rsidP="00C455B6">
            <w:pPr>
              <w:tabs>
                <w:tab w:val="left" w:pos="720"/>
                <w:tab w:val="left" w:pos="1440"/>
              </w:tabs>
              <w:rPr>
                <w:lang w:val="en-US"/>
              </w:rPr>
            </w:pPr>
          </w:p>
          <w:p w:rsidR="00476733" w:rsidRDefault="00476733" w:rsidP="00C455B6">
            <w:pPr>
              <w:tabs>
                <w:tab w:val="left" w:pos="720"/>
                <w:tab w:val="left" w:pos="1440"/>
              </w:tabs>
              <w:ind w:left="1440"/>
              <w:jc w:val="right"/>
              <w:rPr>
                <w:b/>
                <w:bCs/>
                <w:u w:val="single"/>
                <w:lang w:val="en-US"/>
              </w:rPr>
            </w:pPr>
            <w:r w:rsidRPr="00660D0E">
              <w:rPr>
                <w:b/>
                <w:bCs/>
                <w:noProof/>
                <w:u w:val="single"/>
                <w:lang w:val="en-US"/>
              </w:rPr>
              <w:t>MOTION LOST</w:t>
            </w:r>
            <w:r>
              <w:rPr>
                <w:b/>
                <w:bCs/>
                <w:u w:val="single"/>
                <w:lang w:val="en-US"/>
              </w:rPr>
              <w:t xml:space="preserve"> </w:t>
            </w:r>
            <w:r w:rsidRPr="00660D0E">
              <w:rPr>
                <w:b/>
                <w:bCs/>
                <w:noProof/>
                <w:u w:val="single"/>
                <w:lang w:val="en-US"/>
              </w:rPr>
              <w:t>2/6</w:t>
            </w:r>
          </w:p>
          <w:p w:rsidR="00476733" w:rsidRDefault="00476733" w:rsidP="00C455B6">
            <w:pPr>
              <w:tabs>
                <w:tab w:val="left" w:pos="720"/>
                <w:tab w:val="left" w:pos="1440"/>
              </w:tabs>
              <w:jc w:val="left"/>
            </w:pPr>
          </w:p>
        </w:tc>
      </w:tr>
    </w:tbl>
    <w:p w:rsidR="00476733" w:rsidRDefault="00476733" w:rsidP="00C455B6">
      <w:pPr>
        <w:tabs>
          <w:tab w:val="left" w:pos="720"/>
          <w:tab w:val="left" w:pos="1440"/>
        </w:tabs>
        <w:ind w:left="1440"/>
      </w:pPr>
    </w:p>
    <w:p w:rsidR="00476733" w:rsidRDefault="00476733">
      <w:pPr>
        <w:tabs>
          <w:tab w:val="left" w:pos="720"/>
          <w:tab w:val="left" w:pos="1440"/>
        </w:tabs>
        <w:ind w:left="1440" w:right="-45"/>
      </w:pPr>
      <w:r>
        <w:rPr>
          <w:b/>
        </w:rPr>
        <w:t>Background</w:t>
      </w:r>
    </w:p>
    <w:p w:rsidR="00476733" w:rsidRDefault="00476733">
      <w:pPr>
        <w:tabs>
          <w:tab w:val="left" w:pos="720"/>
          <w:tab w:val="left" w:pos="1440"/>
        </w:tabs>
        <w:ind w:left="1440"/>
      </w:pPr>
    </w:p>
    <w:p w:rsidR="00476733" w:rsidRDefault="00476733" w:rsidP="00C455B6">
      <w:pPr>
        <w:tabs>
          <w:tab w:val="left" w:pos="720"/>
          <w:tab w:val="left" w:pos="1440"/>
        </w:tabs>
        <w:ind w:left="1440"/>
      </w:pPr>
      <w:r>
        <w:t xml:space="preserve">Council is required to adopt an Annual Budget by 31 August each year.  To this end the City adopts its budget in </w:t>
      </w:r>
      <w:smartTag w:uri="urn:schemas-microsoft-com:office:smarttags" w:element="PersonName">
        <w:r>
          <w:t>June</w:t>
        </w:r>
      </w:smartTag>
      <w:r>
        <w:t xml:space="preserve"> of each year.</w:t>
      </w:r>
    </w:p>
    <w:p w:rsidR="00476733" w:rsidRDefault="00476733" w:rsidP="00C455B6">
      <w:pPr>
        <w:tabs>
          <w:tab w:val="left" w:pos="720"/>
          <w:tab w:val="left" w:pos="1440"/>
        </w:tabs>
        <w:ind w:left="1440"/>
      </w:pPr>
    </w:p>
    <w:p w:rsidR="00476733" w:rsidRDefault="00476733" w:rsidP="00C455B6">
      <w:pPr>
        <w:autoSpaceDE w:val="0"/>
        <w:autoSpaceDN w:val="0"/>
        <w:ind w:left="1440"/>
      </w:pPr>
      <w:r>
        <w:t>Since 2006/07, the City has produced an Annual Business Plan coupled with the Annual Budget to set the direction for a year of activities.  It ties the objectives of the Strategic Community Plan and the activities listed in the Corporate Business Plan to the activities and services delivered by Business and Service Units. It is not a legislative requirement.</w:t>
      </w:r>
    </w:p>
    <w:p w:rsidR="00476733" w:rsidRPr="003D0CEA" w:rsidRDefault="00476733" w:rsidP="00C455B6">
      <w:pPr>
        <w:autoSpaceDE w:val="0"/>
        <w:autoSpaceDN w:val="0"/>
        <w:ind w:left="1440"/>
      </w:pPr>
    </w:p>
    <w:p w:rsidR="00476733" w:rsidRDefault="00476733" w:rsidP="00C455B6">
      <w:pPr>
        <w:tabs>
          <w:tab w:val="left" w:pos="720"/>
          <w:tab w:val="left" w:pos="1440"/>
        </w:tabs>
        <w:ind w:left="1440"/>
      </w:pPr>
      <w:r>
        <w:t>The Annual Business Plan is submitted to show more information about the first year of activities referred to in the Corporate Business Plan.  The budget for 2016/17 is based on the activity described in the Annual Business Plan and is the subject of a separate report.</w:t>
      </w:r>
    </w:p>
    <w:p w:rsidR="00476733" w:rsidRDefault="00476733">
      <w:pPr>
        <w:tabs>
          <w:tab w:val="left" w:pos="720"/>
          <w:tab w:val="left" w:pos="1440"/>
        </w:tabs>
        <w:ind w:left="1440"/>
      </w:pPr>
    </w:p>
    <w:p w:rsidR="00476733" w:rsidRDefault="00476733">
      <w:pPr>
        <w:tabs>
          <w:tab w:val="left" w:pos="720"/>
          <w:tab w:val="left" w:pos="1440"/>
        </w:tabs>
        <w:ind w:left="1440"/>
      </w:pPr>
      <w:r>
        <w:rPr>
          <w:b/>
        </w:rPr>
        <w:t>Submission</w:t>
      </w:r>
    </w:p>
    <w:p w:rsidR="00476733" w:rsidRDefault="00476733">
      <w:pPr>
        <w:tabs>
          <w:tab w:val="left" w:pos="720"/>
          <w:tab w:val="left" w:pos="1440"/>
        </w:tabs>
        <w:ind w:left="1440"/>
      </w:pPr>
    </w:p>
    <w:p w:rsidR="00476733" w:rsidRDefault="00476733">
      <w:pPr>
        <w:ind w:left="1440"/>
      </w:pPr>
      <w:r>
        <w:t>The City received one submission in response to the advertising of differential rates.  The submission was received from the Banjup Residents Group.  The submission and response is attached to the Agenda (Attachments 5 &amp; 6).</w:t>
      </w:r>
    </w:p>
    <w:p w:rsidR="00476733" w:rsidRDefault="00476733">
      <w:pPr>
        <w:tabs>
          <w:tab w:val="left" w:pos="720"/>
          <w:tab w:val="left" w:pos="1440"/>
        </w:tabs>
        <w:ind w:left="1440"/>
      </w:pPr>
    </w:p>
    <w:p w:rsidR="00C455B6" w:rsidRDefault="00C455B6">
      <w:pPr>
        <w:tabs>
          <w:tab w:val="left" w:pos="720"/>
          <w:tab w:val="left" w:pos="1440"/>
        </w:tabs>
        <w:ind w:left="1440"/>
      </w:pPr>
    </w:p>
    <w:p w:rsidR="00476733" w:rsidRDefault="00476733">
      <w:pPr>
        <w:tabs>
          <w:tab w:val="left" w:pos="720"/>
          <w:tab w:val="left" w:pos="1440"/>
        </w:tabs>
        <w:ind w:left="1440"/>
      </w:pPr>
      <w:r>
        <w:rPr>
          <w:b/>
        </w:rPr>
        <w:t>Report</w:t>
      </w:r>
    </w:p>
    <w:p w:rsidR="00476733" w:rsidRDefault="00476733">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 xml:space="preserve">Municipal Budget </w:t>
      </w:r>
      <w:r>
        <w:rPr>
          <w:rFonts w:ascii="Bookman Old Style" w:hAnsi="Bookman Old Style"/>
          <w:i/>
        </w:rPr>
        <w:t>2016/17</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Each financial year the City is required to adopt a municipal budget in accordance with Section 6.2 of the Local Government Act 1995 and the associated regulations.</w:t>
      </w:r>
    </w:p>
    <w:p w:rsidR="00476733" w:rsidRDefault="00476733" w:rsidP="00C455B6">
      <w:pPr>
        <w:tabs>
          <w:tab w:val="left" w:pos="720"/>
          <w:tab w:val="left" w:pos="1440"/>
        </w:tabs>
        <w:ind w:left="1440"/>
      </w:pPr>
    </w:p>
    <w:p w:rsidR="00476733" w:rsidRDefault="00476733" w:rsidP="00C455B6">
      <w:pPr>
        <w:ind w:left="1440"/>
      </w:pPr>
      <w:r>
        <w:t>Highlights of the 2016/17 - Municipal Budget:</w:t>
      </w:r>
    </w:p>
    <w:p w:rsidR="00476733" w:rsidRDefault="00476733" w:rsidP="00C455B6">
      <w:pPr>
        <w:tabs>
          <w:tab w:val="left" w:pos="720"/>
          <w:tab w:val="left" w:pos="1440"/>
        </w:tabs>
        <w:ind w:left="1440"/>
      </w:pPr>
    </w:p>
    <w:p w:rsidR="00476733" w:rsidRDefault="00476733" w:rsidP="00C455B6">
      <w:pPr>
        <w:numPr>
          <w:ilvl w:val="2"/>
          <w:numId w:val="25"/>
        </w:numPr>
        <w:tabs>
          <w:tab w:val="clear" w:pos="2160"/>
          <w:tab w:val="left" w:pos="720"/>
          <w:tab w:val="left" w:pos="1440"/>
          <w:tab w:val="num" w:pos="1800"/>
        </w:tabs>
        <w:ind w:left="1800"/>
      </w:pPr>
      <w:r w:rsidRPr="00A56789">
        <w:t xml:space="preserve">Rates increase </w:t>
      </w:r>
      <w:r>
        <w:t>for all properties of 3.00</w:t>
      </w:r>
      <w:r w:rsidRPr="00A56789">
        <w:t>%</w:t>
      </w:r>
      <w:r>
        <w:t xml:space="preserve"> apart from caravan parks and commercial and industrial properties (large).</w:t>
      </w:r>
    </w:p>
    <w:p w:rsidR="00476733" w:rsidRDefault="00476733" w:rsidP="00C455B6">
      <w:pPr>
        <w:numPr>
          <w:ilvl w:val="2"/>
          <w:numId w:val="25"/>
        </w:numPr>
        <w:tabs>
          <w:tab w:val="clear" w:pos="2160"/>
          <w:tab w:val="left" w:pos="720"/>
          <w:tab w:val="left" w:pos="1440"/>
          <w:tab w:val="num" w:pos="1800"/>
        </w:tabs>
        <w:ind w:left="1800"/>
      </w:pPr>
      <w:r>
        <w:t xml:space="preserve">The credit card surcharge of 0.50% will be abolished in 2016/17 saving ratepayers approximately </w:t>
      </w:r>
      <w:r w:rsidRPr="00F018C5">
        <w:t>$6.00 for the average ratepayer. As well the interest fee for paying by instalments will also fall by $2</w:t>
      </w:r>
      <w:r>
        <w:t xml:space="preserve"> for the average ratepayer.</w:t>
      </w:r>
    </w:p>
    <w:p w:rsidR="00476733" w:rsidRPr="00A56789" w:rsidRDefault="00476733" w:rsidP="00C455B6">
      <w:pPr>
        <w:numPr>
          <w:ilvl w:val="2"/>
          <w:numId w:val="25"/>
        </w:numPr>
        <w:tabs>
          <w:tab w:val="clear" w:pos="2160"/>
          <w:tab w:val="left" w:pos="720"/>
          <w:tab w:val="left" w:pos="1440"/>
          <w:tab w:val="num" w:pos="1800"/>
        </w:tabs>
        <w:ind w:left="1800"/>
      </w:pPr>
      <w:r>
        <w:t>B</w:t>
      </w:r>
      <w:r w:rsidRPr="00A56789">
        <w:t>uilding of domestic housing</w:t>
      </w:r>
      <w:r>
        <w:t xml:space="preserve"> and the </w:t>
      </w:r>
      <w:r w:rsidRPr="00A56789">
        <w:t>commercial</w:t>
      </w:r>
      <w:r>
        <w:t>/industrial</w:t>
      </w:r>
      <w:r w:rsidRPr="00A56789">
        <w:t xml:space="preserve"> sector</w:t>
      </w:r>
      <w:r>
        <w:t xml:space="preserve"> is estimated to grow by 2.5%.</w:t>
      </w:r>
    </w:p>
    <w:p w:rsidR="00476733" w:rsidRDefault="00476733" w:rsidP="00C455B6">
      <w:pPr>
        <w:numPr>
          <w:ilvl w:val="2"/>
          <w:numId w:val="25"/>
        </w:numPr>
        <w:tabs>
          <w:tab w:val="clear" w:pos="2160"/>
          <w:tab w:val="left" w:pos="720"/>
          <w:tab w:val="left" w:pos="1440"/>
          <w:tab w:val="num" w:pos="1800"/>
        </w:tabs>
        <w:ind w:left="1800"/>
      </w:pPr>
      <w:r>
        <w:t>The City will continue</w:t>
      </w:r>
      <w:r w:rsidRPr="00A56789">
        <w:t xml:space="preserve"> weekly recycling, </w:t>
      </w:r>
      <w:r>
        <w:t xml:space="preserve">six </w:t>
      </w:r>
      <w:r w:rsidRPr="00A56789">
        <w:t xml:space="preserve">tip passes and </w:t>
      </w:r>
      <w:r>
        <w:t xml:space="preserve">four </w:t>
      </w:r>
      <w:r w:rsidRPr="00A56789">
        <w:t xml:space="preserve">verge collections </w:t>
      </w:r>
      <w:r>
        <w:t xml:space="preserve">(two general </w:t>
      </w:r>
      <w:proofErr w:type="gramStart"/>
      <w:r>
        <w:t>waste</w:t>
      </w:r>
      <w:proofErr w:type="gramEnd"/>
      <w:r>
        <w:t xml:space="preserve"> and two </w:t>
      </w:r>
      <w:proofErr w:type="spellStart"/>
      <w:r>
        <w:t>greenwaste</w:t>
      </w:r>
      <w:proofErr w:type="spellEnd"/>
      <w:r>
        <w:t xml:space="preserve">) for residential properties.  </w:t>
      </w:r>
    </w:p>
    <w:p w:rsidR="00476733" w:rsidRPr="00A56789" w:rsidRDefault="00476733" w:rsidP="00C455B6">
      <w:pPr>
        <w:numPr>
          <w:ilvl w:val="2"/>
          <w:numId w:val="25"/>
        </w:numPr>
        <w:tabs>
          <w:tab w:val="clear" w:pos="2160"/>
          <w:tab w:val="left" w:pos="720"/>
          <w:tab w:val="left" w:pos="1440"/>
          <w:tab w:val="num" w:pos="1800"/>
        </w:tabs>
        <w:ind w:left="1800"/>
      </w:pPr>
      <w:r>
        <w:t>The City to roll out the third bin (</w:t>
      </w:r>
      <w:proofErr w:type="spellStart"/>
      <w:r>
        <w:t>Greenwaste</w:t>
      </w:r>
      <w:proofErr w:type="spellEnd"/>
      <w:r>
        <w:t>) for all residential properties larger than 400 square metres over the next four years. For 2016/17, the City will implement the third bin in Hamilton Hill and Leeming.</w:t>
      </w:r>
    </w:p>
    <w:p w:rsidR="00476733" w:rsidRDefault="00476733" w:rsidP="00C455B6">
      <w:pPr>
        <w:numPr>
          <w:ilvl w:val="2"/>
          <w:numId w:val="25"/>
        </w:numPr>
        <w:tabs>
          <w:tab w:val="clear" w:pos="2160"/>
          <w:tab w:val="left" w:pos="720"/>
          <w:tab w:val="left" w:pos="1440"/>
          <w:tab w:val="num" w:pos="1800"/>
        </w:tabs>
        <w:ind w:left="1800"/>
      </w:pPr>
      <w:r w:rsidRPr="00A56789">
        <w:t>Co-Safe service</w:t>
      </w:r>
      <w:r>
        <w:t xml:space="preserve"> to continue the rollout of the CCTV construction implementation strategy. </w:t>
      </w:r>
    </w:p>
    <w:p w:rsidR="00476733" w:rsidRPr="00A56789" w:rsidRDefault="00476733" w:rsidP="00C455B6">
      <w:pPr>
        <w:numPr>
          <w:ilvl w:val="2"/>
          <w:numId w:val="25"/>
        </w:numPr>
        <w:tabs>
          <w:tab w:val="clear" w:pos="2160"/>
          <w:tab w:val="left" w:pos="720"/>
          <w:tab w:val="left" w:pos="1440"/>
          <w:tab w:val="num" w:pos="1800"/>
        </w:tabs>
        <w:ind w:left="1800"/>
      </w:pPr>
      <w:r>
        <w:t>Presentation of a municipal b</w:t>
      </w:r>
      <w:r w:rsidRPr="00A56789">
        <w:t>u</w:t>
      </w:r>
      <w:r>
        <w:t>dget with a closing municipal fund position of $299,049.</w:t>
      </w:r>
    </w:p>
    <w:p w:rsidR="00476733" w:rsidRDefault="00476733" w:rsidP="00C455B6">
      <w:pPr>
        <w:numPr>
          <w:ilvl w:val="2"/>
          <w:numId w:val="25"/>
        </w:numPr>
        <w:tabs>
          <w:tab w:val="clear" w:pos="2160"/>
          <w:tab w:val="left" w:pos="720"/>
          <w:tab w:val="left" w:pos="1440"/>
          <w:tab w:val="num" w:pos="1800"/>
        </w:tabs>
        <w:ind w:left="1800"/>
      </w:pPr>
      <w:r>
        <w:t>Increase in operating revenue of 7.4</w:t>
      </w:r>
      <w:r w:rsidRPr="00A56789">
        <w:t>%</w:t>
      </w:r>
      <w:r>
        <w:t xml:space="preserve"> over the 2015/16 amended budget.</w:t>
      </w:r>
    </w:p>
    <w:p w:rsidR="00476733" w:rsidRDefault="00476733" w:rsidP="00C455B6">
      <w:pPr>
        <w:numPr>
          <w:ilvl w:val="2"/>
          <w:numId w:val="25"/>
        </w:numPr>
        <w:tabs>
          <w:tab w:val="clear" w:pos="2160"/>
          <w:tab w:val="left" w:pos="720"/>
          <w:tab w:val="left" w:pos="1440"/>
          <w:tab w:val="num" w:pos="1800"/>
        </w:tabs>
        <w:ind w:left="1800"/>
      </w:pPr>
      <w:r w:rsidRPr="00A56789">
        <w:t>Operating</w:t>
      </w:r>
      <w:r>
        <w:t xml:space="preserve"> </w:t>
      </w:r>
      <w:r w:rsidRPr="00A56789">
        <w:t xml:space="preserve">cost increase of only </w:t>
      </w:r>
      <w:r>
        <w:t>5.1% over prior 2015/16 amended budget and before depreciation, a cash cost increase of 6.6%</w:t>
      </w:r>
    </w:p>
    <w:p w:rsidR="00476733" w:rsidRPr="00A56789" w:rsidRDefault="00476733" w:rsidP="00C455B6">
      <w:pPr>
        <w:numPr>
          <w:ilvl w:val="2"/>
          <w:numId w:val="25"/>
        </w:numPr>
        <w:tabs>
          <w:tab w:val="clear" w:pos="2160"/>
          <w:tab w:val="left" w:pos="720"/>
          <w:tab w:val="left" w:pos="1440"/>
          <w:tab w:val="num" w:pos="1800"/>
        </w:tabs>
        <w:ind w:left="1800"/>
      </w:pPr>
      <w:r>
        <w:t>The surplus between operating revenue and expenditure funds reserve transfers arising from operating income such as interest income on cash reserves, waste collection and disposal capital payments, Naval Base Shacks and CCTV capital construction.</w:t>
      </w:r>
    </w:p>
    <w:p w:rsidR="00476733" w:rsidRDefault="00476733" w:rsidP="00C455B6">
      <w:pPr>
        <w:numPr>
          <w:ilvl w:val="2"/>
          <w:numId w:val="25"/>
        </w:numPr>
        <w:tabs>
          <w:tab w:val="clear" w:pos="2160"/>
          <w:tab w:val="left" w:pos="720"/>
          <w:tab w:val="left" w:pos="1440"/>
          <w:tab w:val="num" w:pos="1800"/>
        </w:tabs>
        <w:ind w:left="1800"/>
      </w:pPr>
      <w:r w:rsidRPr="00A56789">
        <w:t>Salaries budget to increase by</w:t>
      </w:r>
      <w:r>
        <w:t xml:space="preserve"> 2.0%.</w:t>
      </w:r>
    </w:p>
    <w:p w:rsidR="00476733" w:rsidRPr="00A56789" w:rsidRDefault="00476733" w:rsidP="00C455B6">
      <w:pPr>
        <w:numPr>
          <w:ilvl w:val="2"/>
          <w:numId w:val="25"/>
        </w:numPr>
        <w:tabs>
          <w:tab w:val="clear" w:pos="2160"/>
          <w:tab w:val="left" w:pos="720"/>
          <w:tab w:val="left" w:pos="1440"/>
          <w:tab w:val="num" w:pos="1800"/>
        </w:tabs>
        <w:ind w:left="1800"/>
      </w:pPr>
      <w:r w:rsidRPr="00A46134">
        <w:t>$</w:t>
      </w:r>
      <w:r>
        <w:t xml:space="preserve">78.3m to be spent </w:t>
      </w:r>
      <w:r w:rsidRPr="00A56789">
        <w:t xml:space="preserve">on </w:t>
      </w:r>
      <w:r>
        <w:t>c</w:t>
      </w:r>
      <w:r w:rsidRPr="00A56789">
        <w:t xml:space="preserve">ommunity </w:t>
      </w:r>
      <w:r>
        <w:t xml:space="preserve">capital </w:t>
      </w:r>
      <w:r w:rsidRPr="00A56789">
        <w:t xml:space="preserve">assets </w:t>
      </w:r>
      <w:r>
        <w:t>which include</w:t>
      </w:r>
      <w:r w:rsidRPr="00A56789">
        <w:t xml:space="preserve"> roads, drainage</w:t>
      </w:r>
      <w:r>
        <w:t>, parks</w:t>
      </w:r>
      <w:r w:rsidRPr="00A56789">
        <w:t xml:space="preserve"> and community infrastructure </w:t>
      </w:r>
    </w:p>
    <w:p w:rsidR="00476733" w:rsidRDefault="00476733" w:rsidP="00C455B6">
      <w:pPr>
        <w:numPr>
          <w:ilvl w:val="2"/>
          <w:numId w:val="25"/>
        </w:numPr>
        <w:tabs>
          <w:tab w:val="clear" w:pos="2160"/>
          <w:tab w:val="left" w:pos="720"/>
          <w:tab w:val="left" w:pos="1440"/>
          <w:tab w:val="num" w:pos="1800"/>
        </w:tabs>
        <w:ind w:left="1800"/>
      </w:pPr>
      <w:r>
        <w:t>Cockburn ARC at Cockburn Central West will be handed over to the City around March 2017 and be open to the public in April/May 2017 depending on fit out and commissioning.</w:t>
      </w:r>
    </w:p>
    <w:p w:rsidR="00476733" w:rsidRDefault="00476733" w:rsidP="00C455B6">
      <w:pPr>
        <w:numPr>
          <w:ilvl w:val="2"/>
          <w:numId w:val="25"/>
        </w:numPr>
        <w:tabs>
          <w:tab w:val="clear" w:pos="2160"/>
          <w:tab w:val="left" w:pos="720"/>
          <w:tab w:val="left" w:pos="1440"/>
          <w:tab w:val="num" w:pos="1800"/>
        </w:tabs>
        <w:ind w:left="1800"/>
      </w:pPr>
      <w:r>
        <w:t xml:space="preserve">The new </w:t>
      </w:r>
      <w:proofErr w:type="spellStart"/>
      <w:r>
        <w:t>Visko</w:t>
      </w:r>
      <w:proofErr w:type="spellEnd"/>
      <w:r>
        <w:t xml:space="preserve"> Park bowling club building and greens will commence in 2016/17 with a cost of $9m and </w:t>
      </w:r>
      <w:proofErr w:type="gramStart"/>
      <w:r>
        <w:t>a spend</w:t>
      </w:r>
      <w:proofErr w:type="gramEnd"/>
      <w:r>
        <w:t xml:space="preserve"> of $7.2m in this financial year and remaining balance in 2017/18.</w:t>
      </w:r>
    </w:p>
    <w:p w:rsidR="00476733" w:rsidRDefault="00476733" w:rsidP="00C455B6">
      <w:pPr>
        <w:numPr>
          <w:ilvl w:val="2"/>
          <w:numId w:val="25"/>
        </w:numPr>
        <w:tabs>
          <w:tab w:val="clear" w:pos="2160"/>
          <w:tab w:val="left" w:pos="720"/>
          <w:tab w:val="left" w:pos="1440"/>
          <w:tab w:val="num" w:pos="1800"/>
        </w:tabs>
        <w:ind w:left="1800"/>
      </w:pPr>
      <w:r>
        <w:t>Funding has been provided for a range of Revitalisation Strategies, Hamilton Hill $0.9m, Spearwood $4.0m, Coolbellup $0.5m and the Lakes $0.8m.</w:t>
      </w:r>
    </w:p>
    <w:p w:rsidR="00476733" w:rsidRPr="00A56789" w:rsidRDefault="00476733" w:rsidP="00C455B6">
      <w:pPr>
        <w:numPr>
          <w:ilvl w:val="2"/>
          <w:numId w:val="25"/>
        </w:numPr>
        <w:tabs>
          <w:tab w:val="clear" w:pos="2160"/>
          <w:tab w:val="left" w:pos="720"/>
          <w:tab w:val="left" w:pos="1440"/>
          <w:tab w:val="num" w:pos="1800"/>
        </w:tabs>
        <w:ind w:left="1800"/>
      </w:pPr>
      <w:r>
        <w:lastRenderedPageBreak/>
        <w:t>Funding has been provided for a number of master plans, Coogee Beach $0.5m and North foreshore $0.5m.</w:t>
      </w:r>
    </w:p>
    <w:p w:rsidR="00476733" w:rsidRPr="00C5704D" w:rsidRDefault="00476733" w:rsidP="00C455B6">
      <w:pPr>
        <w:numPr>
          <w:ilvl w:val="2"/>
          <w:numId w:val="25"/>
        </w:numPr>
        <w:tabs>
          <w:tab w:val="clear" w:pos="2160"/>
          <w:tab w:val="left" w:pos="720"/>
          <w:tab w:val="left" w:pos="1440"/>
          <w:tab w:val="num" w:pos="1800"/>
        </w:tabs>
        <w:ind w:left="1800"/>
      </w:pPr>
      <w:r w:rsidRPr="00C5704D">
        <w:t xml:space="preserve">Major Road projects, </w:t>
      </w:r>
      <w:r>
        <w:t>including $8.0m for duplication of Berrigan Drive from the Freeway to Jandakot Airport. Upgrade of Rockingham Road Spearwood from Phoenix Road to Spearwood Avenue costing $4.0m</w:t>
      </w:r>
      <w:r w:rsidRPr="00C5704D">
        <w:t>.</w:t>
      </w:r>
    </w:p>
    <w:p w:rsidR="00476733" w:rsidRPr="00A56789" w:rsidRDefault="00476733" w:rsidP="00C455B6">
      <w:pPr>
        <w:numPr>
          <w:ilvl w:val="2"/>
          <w:numId w:val="25"/>
        </w:numPr>
        <w:tabs>
          <w:tab w:val="clear" w:pos="2160"/>
          <w:tab w:val="left" w:pos="720"/>
          <w:tab w:val="left" w:pos="1440"/>
          <w:tab w:val="num" w:pos="1800"/>
        </w:tabs>
        <w:ind w:left="1800"/>
      </w:pPr>
      <w:r w:rsidRPr="00A56789">
        <w:t>C</w:t>
      </w:r>
      <w:r>
        <w:t xml:space="preserve">ompletion of Adventure Playground at Bibra Lake including a new public toilet facility and upgrading the existing toilet facility. This is in addition to the funding provided for the upgrade to Progress Drive and reconstruction of the major car park next to Adventure World. </w:t>
      </w:r>
    </w:p>
    <w:p w:rsidR="00476733" w:rsidRPr="00A56789" w:rsidRDefault="00476733" w:rsidP="00C455B6">
      <w:pPr>
        <w:numPr>
          <w:ilvl w:val="2"/>
          <w:numId w:val="25"/>
        </w:numPr>
        <w:tabs>
          <w:tab w:val="clear" w:pos="2160"/>
          <w:tab w:val="left" w:pos="720"/>
          <w:tab w:val="left" w:pos="1440"/>
          <w:tab w:val="num" w:pos="1800"/>
        </w:tabs>
        <w:ind w:left="1800"/>
      </w:pPr>
      <w:r>
        <w:t>Continuing repayment of the loan for</w:t>
      </w:r>
      <w:r w:rsidRPr="00A56789">
        <w:t xml:space="preserve"> </w:t>
      </w:r>
      <w:proofErr w:type="spellStart"/>
      <w:r w:rsidRPr="00A56789">
        <w:t>ESL</w:t>
      </w:r>
      <w:proofErr w:type="spellEnd"/>
      <w:r w:rsidRPr="00A56789">
        <w:t xml:space="preserve"> F</w:t>
      </w:r>
      <w:r>
        <w:t xml:space="preserve">acility (10 years repaid by DFES, formerly </w:t>
      </w:r>
      <w:proofErr w:type="spellStart"/>
      <w:r>
        <w:t>FESA</w:t>
      </w:r>
      <w:proofErr w:type="spellEnd"/>
      <w:r w:rsidRPr="00A56789">
        <w:t>)</w:t>
      </w:r>
      <w:r>
        <w:t xml:space="preserve">. 2016/17 sees the City commence repayment of the $25m loan borrowed from the </w:t>
      </w:r>
      <w:proofErr w:type="spellStart"/>
      <w:r>
        <w:t>WATC</w:t>
      </w:r>
      <w:proofErr w:type="spellEnd"/>
      <w:r>
        <w:t xml:space="preserve"> at $2.5m per annum plus interest. </w:t>
      </w:r>
    </w:p>
    <w:p w:rsidR="00476733" w:rsidRPr="00A56789" w:rsidRDefault="00476733" w:rsidP="00C455B6">
      <w:pPr>
        <w:numPr>
          <w:ilvl w:val="2"/>
          <w:numId w:val="25"/>
        </w:numPr>
        <w:tabs>
          <w:tab w:val="clear" w:pos="2160"/>
          <w:tab w:val="left" w:pos="720"/>
          <w:tab w:val="left" w:pos="1440"/>
          <w:tab w:val="num" w:pos="1800"/>
        </w:tabs>
        <w:ind w:left="1800"/>
      </w:pPr>
      <w:r w:rsidRPr="00A56789">
        <w:t>Gr</w:t>
      </w:r>
      <w:r>
        <w:t>ants &amp; Donations budget of $1.31</w:t>
      </w:r>
      <w:r w:rsidRPr="00A56789">
        <w:t>m</w:t>
      </w:r>
    </w:p>
    <w:p w:rsidR="00476733" w:rsidRPr="00A56789" w:rsidRDefault="00476733" w:rsidP="00C455B6">
      <w:pPr>
        <w:numPr>
          <w:ilvl w:val="2"/>
          <w:numId w:val="25"/>
        </w:numPr>
        <w:tabs>
          <w:tab w:val="clear" w:pos="2160"/>
          <w:tab w:val="left" w:pos="720"/>
          <w:tab w:val="left" w:pos="1440"/>
          <w:tab w:val="num" w:pos="1800"/>
        </w:tabs>
        <w:ind w:left="1800"/>
      </w:pPr>
      <w:r>
        <w:t>F</w:t>
      </w:r>
      <w:r w:rsidRPr="00A56789">
        <w:t>unds for Summer of Events of $0.</w:t>
      </w:r>
      <w:r>
        <w:t>7</w:t>
      </w:r>
      <w:r w:rsidRPr="00A56789">
        <w:t>m</w:t>
      </w:r>
    </w:p>
    <w:p w:rsidR="00476733" w:rsidRDefault="00476733" w:rsidP="00C455B6">
      <w:pPr>
        <w:numPr>
          <w:ilvl w:val="2"/>
          <w:numId w:val="25"/>
        </w:numPr>
        <w:tabs>
          <w:tab w:val="clear" w:pos="2160"/>
          <w:tab w:val="left" w:pos="720"/>
          <w:tab w:val="left" w:pos="1440"/>
          <w:tab w:val="num" w:pos="1800"/>
        </w:tabs>
        <w:ind w:left="1800"/>
      </w:pPr>
      <w:r>
        <w:t>Construction will continue on the re-development of the Councils’ Depot located in Wellard Street, Bibra Lake. An amount of $9.0m has been provided for this project in 2015/16 and the unspent balance will be carried forward.</w:t>
      </w:r>
    </w:p>
    <w:p w:rsidR="00476733" w:rsidRDefault="00476733" w:rsidP="00C455B6">
      <w:pPr>
        <w:numPr>
          <w:ilvl w:val="2"/>
          <w:numId w:val="25"/>
        </w:numPr>
        <w:tabs>
          <w:tab w:val="clear" w:pos="2160"/>
          <w:tab w:val="left" w:pos="720"/>
          <w:tab w:val="left" w:pos="1440"/>
          <w:tab w:val="num" w:pos="1800"/>
        </w:tabs>
        <w:ind w:left="1800"/>
      </w:pPr>
      <w:r>
        <w:t>Parks construction program totalling $6.4m covering new parks development plus a range of other projects covering greening plans, shade sail implementation and playground renewals</w:t>
      </w:r>
    </w:p>
    <w:p w:rsidR="00476733" w:rsidRDefault="00476733" w:rsidP="00C455B6">
      <w:pPr>
        <w:tabs>
          <w:tab w:val="left" w:pos="720"/>
          <w:tab w:val="left" w:pos="1440"/>
          <w:tab w:val="num" w:pos="1800"/>
          <w:tab w:val="num" w:pos="3153"/>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Income</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 2016/17 operating income for the City will be $135.91m an increase of 7.4</w:t>
      </w:r>
      <w:r w:rsidRPr="00813B62">
        <w:t>%</w:t>
      </w:r>
      <w:r>
        <w:t xml:space="preserve"> on the 2015/16 amended budget. The sources of income are displayed in the table below. The two main sources of income for the Council are Rates 70.6</w:t>
      </w:r>
      <w:r w:rsidRPr="001944AC">
        <w:t>%</w:t>
      </w:r>
      <w:r>
        <w:t xml:space="preserve"> and Fees and Charges 17.9% of the operating income respectively.</w:t>
      </w:r>
    </w:p>
    <w:p w:rsidR="00476733" w:rsidRDefault="00476733"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Table 1 – Operating revenue for 2016/17 and 2015/16</w:t>
      </w:r>
    </w:p>
    <w:tbl>
      <w:tblPr>
        <w:tblW w:w="765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600" w:firstRow="0" w:lastRow="0" w:firstColumn="0" w:lastColumn="0" w:noHBand="1" w:noVBand="1"/>
      </w:tblPr>
      <w:tblGrid>
        <w:gridCol w:w="2340"/>
        <w:gridCol w:w="1440"/>
        <w:gridCol w:w="1350"/>
        <w:gridCol w:w="1260"/>
        <w:gridCol w:w="1260"/>
      </w:tblGrid>
      <w:tr w:rsidR="00476733" w:rsidRPr="005343C6" w:rsidTr="00C455B6">
        <w:trPr>
          <w:trHeight w:val="1290"/>
          <w:tblHeader/>
        </w:trPr>
        <w:tc>
          <w:tcPr>
            <w:tcW w:w="2340" w:type="dxa"/>
            <w:tcBorders>
              <w:top w:val="double" w:sz="4" w:space="0" w:color="auto"/>
              <w:bottom w:val="double" w:sz="4" w:space="0" w:color="auto"/>
            </w:tcBorders>
            <w:shd w:val="clear" w:color="auto" w:fill="auto"/>
            <w:noWrap/>
            <w:vAlign w:val="center"/>
            <w:hideMark/>
          </w:tcPr>
          <w:p w:rsidR="00476733" w:rsidRPr="005343C6" w:rsidRDefault="00476733" w:rsidP="00C455B6">
            <w:pPr>
              <w:jc w:val="center"/>
              <w:rPr>
                <w:rFonts w:cs="Arial"/>
                <w:b/>
                <w:color w:val="000000"/>
                <w:sz w:val="20"/>
                <w:lang w:val="en-US"/>
              </w:rPr>
            </w:pPr>
            <w:r w:rsidRPr="005343C6">
              <w:rPr>
                <w:rFonts w:cs="Arial"/>
                <w:b/>
                <w:color w:val="000000"/>
                <w:sz w:val="20"/>
                <w:lang w:val="en-US"/>
              </w:rPr>
              <w:t>All Figures in $M</w:t>
            </w:r>
          </w:p>
        </w:tc>
        <w:tc>
          <w:tcPr>
            <w:tcW w:w="1440" w:type="dxa"/>
            <w:tcBorders>
              <w:top w:val="double" w:sz="4" w:space="0" w:color="auto"/>
              <w:bottom w:val="double" w:sz="4" w:space="0" w:color="auto"/>
            </w:tcBorders>
            <w:shd w:val="clear" w:color="auto" w:fill="auto"/>
            <w:vAlign w:val="center"/>
            <w:hideMark/>
          </w:tcPr>
          <w:p w:rsidR="00476733" w:rsidRDefault="00476733" w:rsidP="00C455B6">
            <w:pPr>
              <w:jc w:val="center"/>
              <w:rPr>
                <w:rFonts w:cs="Arial"/>
                <w:b/>
                <w:color w:val="000000"/>
                <w:sz w:val="20"/>
                <w:lang w:val="en-US"/>
              </w:rPr>
            </w:pPr>
            <w:r>
              <w:rPr>
                <w:rFonts w:cs="Arial"/>
                <w:b/>
                <w:color w:val="000000"/>
                <w:sz w:val="20"/>
                <w:lang w:val="en-US"/>
              </w:rPr>
              <w:t>20</w:t>
            </w:r>
            <w:r w:rsidRPr="005343C6">
              <w:rPr>
                <w:rFonts w:cs="Arial"/>
                <w:b/>
                <w:color w:val="000000"/>
                <w:sz w:val="20"/>
                <w:lang w:val="en-US"/>
              </w:rPr>
              <w:t>1</w:t>
            </w:r>
            <w:r>
              <w:rPr>
                <w:rFonts w:cs="Arial"/>
                <w:b/>
                <w:color w:val="000000"/>
                <w:sz w:val="20"/>
                <w:lang w:val="en-US"/>
              </w:rPr>
              <w:t>5/16</w:t>
            </w:r>
            <w:r w:rsidRPr="005343C6">
              <w:rPr>
                <w:rFonts w:cs="Arial"/>
                <w:b/>
                <w:color w:val="000000"/>
                <w:sz w:val="20"/>
                <w:lang w:val="en-US"/>
              </w:rPr>
              <w:t xml:space="preserve"> </w:t>
            </w:r>
            <w:r>
              <w:rPr>
                <w:rFonts w:cs="Arial"/>
                <w:b/>
                <w:color w:val="000000"/>
                <w:sz w:val="20"/>
                <w:lang w:val="en-US"/>
              </w:rPr>
              <w:t>Amended</w:t>
            </w:r>
          </w:p>
          <w:p w:rsidR="00476733" w:rsidRPr="005343C6" w:rsidRDefault="00476733" w:rsidP="00C455B6">
            <w:pPr>
              <w:jc w:val="center"/>
              <w:rPr>
                <w:rFonts w:cs="Arial"/>
                <w:b/>
                <w:color w:val="000000"/>
                <w:sz w:val="20"/>
                <w:lang w:val="en-US"/>
              </w:rPr>
            </w:pPr>
            <w:r w:rsidRPr="005343C6">
              <w:rPr>
                <w:rFonts w:cs="Arial"/>
                <w:b/>
                <w:color w:val="000000"/>
                <w:sz w:val="20"/>
                <w:lang w:val="en-US"/>
              </w:rPr>
              <w:t>Budget</w:t>
            </w:r>
          </w:p>
        </w:tc>
        <w:tc>
          <w:tcPr>
            <w:tcW w:w="1350" w:type="dxa"/>
            <w:tcBorders>
              <w:top w:val="double" w:sz="4" w:space="0" w:color="auto"/>
              <w:bottom w:val="double" w:sz="4" w:space="0" w:color="auto"/>
            </w:tcBorders>
            <w:shd w:val="clear" w:color="auto" w:fill="auto"/>
            <w:vAlign w:val="center"/>
            <w:hideMark/>
          </w:tcPr>
          <w:p w:rsidR="00476733" w:rsidRPr="005343C6" w:rsidRDefault="00476733" w:rsidP="00C455B6">
            <w:pPr>
              <w:jc w:val="center"/>
              <w:rPr>
                <w:rFonts w:cs="Arial"/>
                <w:b/>
                <w:color w:val="000000"/>
                <w:sz w:val="20"/>
                <w:lang w:val="en-US"/>
              </w:rPr>
            </w:pPr>
            <w:r>
              <w:rPr>
                <w:rFonts w:cs="Arial"/>
                <w:b/>
                <w:color w:val="000000"/>
                <w:sz w:val="20"/>
                <w:lang w:val="en-US"/>
              </w:rPr>
              <w:t>2016/17</w:t>
            </w:r>
            <w:r w:rsidRPr="005343C6">
              <w:rPr>
                <w:rFonts w:cs="Arial"/>
                <w:b/>
                <w:color w:val="000000"/>
                <w:sz w:val="20"/>
                <w:lang w:val="en-US"/>
              </w:rPr>
              <w:t xml:space="preserve"> Budget</w:t>
            </w:r>
          </w:p>
        </w:tc>
        <w:tc>
          <w:tcPr>
            <w:tcW w:w="1260" w:type="dxa"/>
            <w:tcBorders>
              <w:top w:val="double" w:sz="4" w:space="0" w:color="auto"/>
              <w:bottom w:val="double" w:sz="4" w:space="0" w:color="auto"/>
            </w:tcBorders>
            <w:shd w:val="clear" w:color="auto" w:fill="auto"/>
            <w:vAlign w:val="center"/>
            <w:hideMark/>
          </w:tcPr>
          <w:p w:rsidR="00476733" w:rsidRPr="005343C6" w:rsidRDefault="00476733" w:rsidP="00C455B6">
            <w:pPr>
              <w:jc w:val="center"/>
              <w:rPr>
                <w:rFonts w:cs="Arial"/>
                <w:b/>
                <w:color w:val="000000"/>
                <w:sz w:val="20"/>
                <w:lang w:val="en-US"/>
              </w:rPr>
            </w:pPr>
            <w:r w:rsidRPr="005343C6">
              <w:rPr>
                <w:rFonts w:cs="Arial"/>
                <w:b/>
                <w:color w:val="000000"/>
                <w:sz w:val="20"/>
                <w:lang w:val="en-US"/>
              </w:rPr>
              <w:t>Incr</w:t>
            </w:r>
            <w:r w:rsidRPr="0078707D">
              <w:rPr>
                <w:rFonts w:cs="Arial"/>
                <w:b/>
                <w:color w:val="000000"/>
                <w:sz w:val="20"/>
                <w:lang w:val="en-US"/>
              </w:rPr>
              <w:t>ease 1</w:t>
            </w:r>
            <w:r>
              <w:rPr>
                <w:rFonts w:cs="Arial"/>
                <w:b/>
                <w:color w:val="000000"/>
                <w:sz w:val="20"/>
                <w:lang w:val="en-US"/>
              </w:rPr>
              <w:t xml:space="preserve">6/17 </w:t>
            </w:r>
            <w:r w:rsidRPr="0078707D">
              <w:rPr>
                <w:rFonts w:cs="Arial"/>
                <w:b/>
                <w:color w:val="000000"/>
                <w:sz w:val="20"/>
                <w:lang w:val="en-US"/>
              </w:rPr>
              <w:t xml:space="preserve">Budget on </w:t>
            </w:r>
            <w:r>
              <w:rPr>
                <w:rFonts w:cs="Arial"/>
                <w:b/>
                <w:color w:val="000000"/>
                <w:sz w:val="20"/>
                <w:lang w:val="en-US"/>
              </w:rPr>
              <w:t>15</w:t>
            </w:r>
            <w:r w:rsidRPr="0078707D">
              <w:rPr>
                <w:rFonts w:cs="Arial"/>
                <w:b/>
                <w:color w:val="000000"/>
                <w:sz w:val="20"/>
                <w:lang w:val="en-US"/>
              </w:rPr>
              <w:t>/1</w:t>
            </w:r>
            <w:r>
              <w:rPr>
                <w:rFonts w:cs="Arial"/>
                <w:b/>
                <w:color w:val="000000"/>
                <w:sz w:val="20"/>
                <w:lang w:val="en-US"/>
              </w:rPr>
              <w:t xml:space="preserve">6 </w:t>
            </w:r>
            <w:r w:rsidRPr="0078707D">
              <w:rPr>
                <w:rFonts w:cs="Arial"/>
                <w:b/>
                <w:color w:val="000000"/>
                <w:sz w:val="20"/>
                <w:lang w:val="en-US"/>
              </w:rPr>
              <w:t>Budget</w:t>
            </w:r>
          </w:p>
        </w:tc>
        <w:tc>
          <w:tcPr>
            <w:tcW w:w="1260" w:type="dxa"/>
            <w:tcBorders>
              <w:top w:val="double" w:sz="4" w:space="0" w:color="auto"/>
              <w:bottom w:val="double" w:sz="4" w:space="0" w:color="auto"/>
            </w:tcBorders>
            <w:shd w:val="clear" w:color="auto" w:fill="auto"/>
            <w:vAlign w:val="center"/>
            <w:hideMark/>
          </w:tcPr>
          <w:p w:rsidR="00476733" w:rsidRPr="005343C6" w:rsidRDefault="00476733" w:rsidP="00C455B6">
            <w:pPr>
              <w:jc w:val="center"/>
              <w:rPr>
                <w:rFonts w:cs="Arial"/>
                <w:b/>
                <w:color w:val="000000"/>
                <w:sz w:val="20"/>
                <w:lang w:val="en-US"/>
              </w:rPr>
            </w:pPr>
            <w:r w:rsidRPr="005343C6">
              <w:rPr>
                <w:rFonts w:cs="Arial"/>
                <w:b/>
                <w:color w:val="000000"/>
                <w:sz w:val="20"/>
                <w:lang w:val="en-US"/>
              </w:rPr>
              <w:t>% of Overall Income of 1</w:t>
            </w:r>
            <w:r>
              <w:rPr>
                <w:rFonts w:cs="Arial"/>
                <w:b/>
                <w:color w:val="000000"/>
                <w:sz w:val="20"/>
                <w:lang w:val="en-US"/>
              </w:rPr>
              <w:t>5</w:t>
            </w:r>
            <w:r w:rsidRPr="005343C6">
              <w:rPr>
                <w:rFonts w:cs="Arial"/>
                <w:b/>
                <w:color w:val="000000"/>
                <w:sz w:val="20"/>
                <w:lang w:val="en-US"/>
              </w:rPr>
              <w:t>/1</w:t>
            </w:r>
            <w:r>
              <w:rPr>
                <w:rFonts w:cs="Arial"/>
                <w:b/>
                <w:color w:val="000000"/>
                <w:sz w:val="20"/>
                <w:lang w:val="en-US"/>
              </w:rPr>
              <w:t xml:space="preserve">6 </w:t>
            </w:r>
            <w:r w:rsidRPr="005343C6">
              <w:rPr>
                <w:rFonts w:cs="Arial"/>
                <w:b/>
                <w:color w:val="000000"/>
                <w:sz w:val="20"/>
                <w:lang w:val="en-US"/>
              </w:rPr>
              <w:t>Budget</w:t>
            </w:r>
          </w:p>
        </w:tc>
      </w:tr>
      <w:tr w:rsidR="00476733" w:rsidRPr="005343C6" w:rsidTr="00C455B6">
        <w:trPr>
          <w:trHeight w:val="300"/>
        </w:trPr>
        <w:tc>
          <w:tcPr>
            <w:tcW w:w="2340" w:type="dxa"/>
            <w:tcBorders>
              <w:top w:val="double" w:sz="4" w:space="0" w:color="auto"/>
            </w:tcBorders>
            <w:shd w:val="clear" w:color="auto" w:fill="auto"/>
            <w:noWrap/>
            <w:vAlign w:val="bottom"/>
            <w:hideMark/>
          </w:tcPr>
          <w:p w:rsidR="00476733" w:rsidRPr="005343C6" w:rsidRDefault="00476733" w:rsidP="00C455B6">
            <w:pPr>
              <w:jc w:val="left"/>
              <w:rPr>
                <w:rFonts w:cs="Arial"/>
                <w:color w:val="000000"/>
                <w:sz w:val="20"/>
                <w:lang w:val="en-US"/>
              </w:rPr>
            </w:pPr>
            <w:r w:rsidRPr="005343C6">
              <w:rPr>
                <w:rFonts w:cs="Arial"/>
                <w:color w:val="000000"/>
                <w:sz w:val="20"/>
                <w:lang w:val="en-US"/>
              </w:rPr>
              <w:t>Rates</w:t>
            </w:r>
          </w:p>
        </w:tc>
        <w:tc>
          <w:tcPr>
            <w:tcW w:w="1440" w:type="dxa"/>
            <w:tcBorders>
              <w:top w:val="double" w:sz="4" w:space="0" w:color="auto"/>
            </w:tcBorders>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$89.03</w:t>
            </w:r>
          </w:p>
        </w:tc>
        <w:tc>
          <w:tcPr>
            <w:tcW w:w="1350" w:type="dxa"/>
            <w:tcBorders>
              <w:top w:val="double" w:sz="4" w:space="0" w:color="auto"/>
            </w:tcBorders>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$96.00</w:t>
            </w:r>
          </w:p>
        </w:tc>
        <w:tc>
          <w:tcPr>
            <w:tcW w:w="1260" w:type="dxa"/>
            <w:tcBorders>
              <w:top w:val="double" w:sz="4" w:space="0" w:color="auto"/>
            </w:tcBorders>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7.8</w:t>
            </w:r>
            <w:r w:rsidRPr="008A017F">
              <w:rPr>
                <w:rFonts w:cs="Arial"/>
                <w:color w:val="000000"/>
                <w:sz w:val="20"/>
                <w:lang w:val="en-US"/>
              </w:rPr>
              <w:t>%</w:t>
            </w:r>
          </w:p>
        </w:tc>
        <w:tc>
          <w:tcPr>
            <w:tcW w:w="1260" w:type="dxa"/>
            <w:tcBorders>
              <w:top w:val="double" w:sz="4" w:space="0" w:color="auto"/>
            </w:tcBorders>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70.6</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hideMark/>
          </w:tcPr>
          <w:p w:rsidR="00476733" w:rsidRPr="005343C6" w:rsidRDefault="00476733" w:rsidP="00C455B6">
            <w:pPr>
              <w:jc w:val="left"/>
              <w:rPr>
                <w:rFonts w:cs="Arial"/>
                <w:color w:val="000000"/>
                <w:sz w:val="20"/>
                <w:lang w:val="en-US"/>
              </w:rPr>
            </w:pPr>
            <w:r>
              <w:rPr>
                <w:rFonts w:cs="Arial"/>
                <w:color w:val="000000"/>
                <w:sz w:val="20"/>
                <w:lang w:val="en-US"/>
              </w:rPr>
              <w:t xml:space="preserve">Service </w:t>
            </w:r>
            <w:r w:rsidRPr="005343C6">
              <w:rPr>
                <w:rFonts w:cs="Arial"/>
                <w:color w:val="000000"/>
                <w:sz w:val="20"/>
                <w:lang w:val="en-US"/>
              </w:rPr>
              <w:t>Charges</w:t>
            </w:r>
          </w:p>
        </w:tc>
        <w:tc>
          <w:tcPr>
            <w:tcW w:w="144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$0.27</w:t>
            </w:r>
          </w:p>
        </w:tc>
        <w:tc>
          <w:tcPr>
            <w:tcW w:w="135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$0.33</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22.2</w:t>
            </w:r>
            <w:r w:rsidRPr="008A017F">
              <w:rPr>
                <w:rFonts w:cs="Arial"/>
                <w:color w:val="000000"/>
                <w:sz w:val="20"/>
                <w:lang w:val="en-US"/>
              </w:rPr>
              <w:t>%</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0.2</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tcPr>
          <w:p w:rsidR="00476733" w:rsidRPr="005343C6" w:rsidRDefault="00476733" w:rsidP="00C455B6">
            <w:pPr>
              <w:jc w:val="left"/>
              <w:rPr>
                <w:rFonts w:cs="Arial"/>
                <w:color w:val="000000"/>
                <w:sz w:val="20"/>
                <w:lang w:val="en-US"/>
              </w:rPr>
            </w:pPr>
            <w:r>
              <w:rPr>
                <w:rFonts w:cs="Arial"/>
                <w:color w:val="000000"/>
                <w:sz w:val="20"/>
                <w:lang w:val="en-US"/>
              </w:rPr>
              <w:t>Fees and Charges</w:t>
            </w:r>
          </w:p>
        </w:tc>
        <w:tc>
          <w:tcPr>
            <w:tcW w:w="144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$22.06</w:t>
            </w:r>
          </w:p>
        </w:tc>
        <w:tc>
          <w:tcPr>
            <w:tcW w:w="135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$24.36</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10.4</w:t>
            </w:r>
            <w:r w:rsidRPr="008A017F">
              <w:rPr>
                <w:rFonts w:cs="Arial"/>
                <w:color w:val="000000"/>
                <w:sz w:val="20"/>
                <w:lang w:val="en-US"/>
              </w:rPr>
              <w:t>%</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17.9</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hideMark/>
          </w:tcPr>
          <w:p w:rsidR="00476733" w:rsidRPr="005343C6" w:rsidRDefault="00476733" w:rsidP="00C455B6">
            <w:pPr>
              <w:jc w:val="left"/>
              <w:rPr>
                <w:rFonts w:cs="Arial"/>
                <w:color w:val="000000"/>
                <w:sz w:val="20"/>
                <w:lang w:val="en-US"/>
              </w:rPr>
            </w:pPr>
            <w:r>
              <w:rPr>
                <w:rFonts w:cs="Arial"/>
                <w:color w:val="000000"/>
                <w:sz w:val="20"/>
                <w:lang w:val="en-US"/>
              </w:rPr>
              <w:t>Contributions</w:t>
            </w:r>
          </w:p>
        </w:tc>
        <w:tc>
          <w:tcPr>
            <w:tcW w:w="144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$1.07</w:t>
            </w:r>
          </w:p>
        </w:tc>
        <w:tc>
          <w:tcPr>
            <w:tcW w:w="135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$0.45</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-57.9</w:t>
            </w:r>
            <w:r w:rsidRPr="008A017F">
              <w:rPr>
                <w:rFonts w:cs="Arial"/>
                <w:color w:val="000000"/>
                <w:sz w:val="20"/>
                <w:lang w:val="en-US"/>
              </w:rPr>
              <w:t>%</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0.3</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hideMark/>
          </w:tcPr>
          <w:p w:rsidR="00476733" w:rsidRPr="005343C6" w:rsidRDefault="00476733" w:rsidP="00C455B6">
            <w:pPr>
              <w:jc w:val="left"/>
              <w:rPr>
                <w:rFonts w:cs="Arial"/>
                <w:color w:val="000000"/>
                <w:sz w:val="20"/>
                <w:lang w:val="en-US"/>
              </w:rPr>
            </w:pPr>
            <w:r w:rsidRPr="005343C6">
              <w:rPr>
                <w:rFonts w:cs="Arial"/>
                <w:color w:val="000000"/>
                <w:sz w:val="20"/>
                <w:lang w:val="en-US"/>
              </w:rPr>
              <w:t>Operating Grants</w:t>
            </w:r>
          </w:p>
        </w:tc>
        <w:tc>
          <w:tcPr>
            <w:tcW w:w="144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$7.51</w:t>
            </w:r>
          </w:p>
        </w:tc>
        <w:tc>
          <w:tcPr>
            <w:tcW w:w="135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$9.35</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24.5%</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6.9</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hideMark/>
          </w:tcPr>
          <w:p w:rsidR="00476733" w:rsidRPr="005343C6" w:rsidRDefault="00476733" w:rsidP="00C455B6">
            <w:pPr>
              <w:jc w:val="left"/>
              <w:rPr>
                <w:rFonts w:cs="Arial"/>
                <w:color w:val="000000"/>
                <w:sz w:val="20"/>
                <w:lang w:val="en-US"/>
              </w:rPr>
            </w:pPr>
            <w:r w:rsidRPr="005343C6">
              <w:rPr>
                <w:rFonts w:cs="Arial"/>
                <w:color w:val="000000"/>
                <w:sz w:val="20"/>
                <w:lang w:val="en-US"/>
              </w:rPr>
              <w:t>Interest Income</w:t>
            </w:r>
          </w:p>
        </w:tc>
        <w:tc>
          <w:tcPr>
            <w:tcW w:w="144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$5.57</w:t>
            </w:r>
          </w:p>
        </w:tc>
        <w:tc>
          <w:tcPr>
            <w:tcW w:w="135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$4.77</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-17.9</w:t>
            </w:r>
            <w:r w:rsidRPr="008A017F">
              <w:rPr>
                <w:rFonts w:cs="Arial"/>
                <w:color w:val="000000"/>
                <w:sz w:val="20"/>
                <w:lang w:val="en-US"/>
              </w:rPr>
              <w:t>%</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3.6</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hideMark/>
          </w:tcPr>
          <w:p w:rsidR="00476733" w:rsidRPr="005343C6" w:rsidRDefault="00476733" w:rsidP="00C455B6">
            <w:pPr>
              <w:jc w:val="left"/>
              <w:rPr>
                <w:rFonts w:cs="Arial"/>
                <w:color w:val="000000"/>
                <w:sz w:val="20"/>
                <w:lang w:val="en-US"/>
              </w:rPr>
            </w:pPr>
            <w:r w:rsidRPr="005343C6">
              <w:rPr>
                <w:rFonts w:cs="Arial"/>
                <w:color w:val="000000"/>
                <w:sz w:val="20"/>
                <w:lang w:val="en-US"/>
              </w:rPr>
              <w:t>Other</w:t>
            </w:r>
          </w:p>
        </w:tc>
        <w:tc>
          <w:tcPr>
            <w:tcW w:w="144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color w:val="000000"/>
                <w:kern w:val="24"/>
                <w:sz w:val="20"/>
                <w:szCs w:val="20"/>
              </w:rPr>
              <w:t>$1.01</w:t>
            </w:r>
          </w:p>
        </w:tc>
        <w:tc>
          <w:tcPr>
            <w:tcW w:w="1350" w:type="dxa"/>
            <w:shd w:val="clear" w:color="auto" w:fill="auto"/>
            <w:noWrap/>
            <w:vAlign w:val="bottom"/>
          </w:tcPr>
          <w:p w:rsidR="00476733" w:rsidRPr="008A017F" w:rsidRDefault="00476733" w:rsidP="00C455B6">
            <w:pPr>
              <w:pStyle w:val="NormalWeb"/>
              <w:spacing w:line="281" w:lineRule="atLeast"/>
              <w:jc w:val="right"/>
              <w:textAlignment w:val="bottom"/>
              <w:rPr>
                <w:rFonts w:ascii="Arial" w:hAnsi="Arial" w:cs="Arial"/>
                <w:sz w:val="20"/>
                <w:szCs w:val="20"/>
              </w:rPr>
            </w:pPr>
            <w:r w:rsidRPr="008A017F">
              <w:rPr>
                <w:rFonts w:ascii="Arial" w:hAnsi="Arial" w:cs="Arial"/>
                <w:sz w:val="20"/>
                <w:szCs w:val="20"/>
              </w:rPr>
              <w:t>$0.63</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-37.6%</w:t>
            </w:r>
          </w:p>
        </w:tc>
        <w:tc>
          <w:tcPr>
            <w:tcW w:w="1260" w:type="dxa"/>
            <w:shd w:val="clear" w:color="auto" w:fill="auto"/>
            <w:noWrap/>
            <w:vAlign w:val="bottom"/>
          </w:tcPr>
          <w:p w:rsidR="00476733" w:rsidRPr="008A017F" w:rsidRDefault="00476733" w:rsidP="00C455B6">
            <w:pPr>
              <w:jc w:val="center"/>
              <w:rPr>
                <w:rFonts w:cs="Arial"/>
                <w:color w:val="000000"/>
                <w:sz w:val="20"/>
                <w:lang w:val="en-US"/>
              </w:rPr>
            </w:pPr>
            <w:r>
              <w:rPr>
                <w:rFonts w:cs="Arial"/>
                <w:color w:val="000000"/>
                <w:sz w:val="20"/>
                <w:lang w:val="en-US"/>
              </w:rPr>
              <w:t>0.5</w:t>
            </w:r>
            <w:r w:rsidRPr="008A017F">
              <w:rPr>
                <w:rFonts w:cs="Arial"/>
                <w:color w:val="000000"/>
                <w:sz w:val="20"/>
                <w:lang w:val="en-US"/>
              </w:rPr>
              <w:t>%</w:t>
            </w:r>
          </w:p>
        </w:tc>
      </w:tr>
      <w:tr w:rsidR="00476733" w:rsidRPr="005343C6" w:rsidTr="00C455B6">
        <w:trPr>
          <w:trHeight w:val="300"/>
        </w:trPr>
        <w:tc>
          <w:tcPr>
            <w:tcW w:w="2340" w:type="dxa"/>
            <w:shd w:val="clear" w:color="auto" w:fill="auto"/>
            <w:noWrap/>
            <w:vAlign w:val="bottom"/>
            <w:hideMark/>
          </w:tcPr>
          <w:p w:rsidR="00476733" w:rsidRPr="005343C6" w:rsidRDefault="00476733" w:rsidP="00C455B6">
            <w:pPr>
              <w:jc w:val="left"/>
              <w:rPr>
                <w:rFonts w:cs="Arial"/>
                <w:b/>
                <w:color w:val="000000"/>
                <w:sz w:val="20"/>
                <w:lang w:val="en-US"/>
              </w:rPr>
            </w:pPr>
            <w:r w:rsidRPr="005343C6">
              <w:rPr>
                <w:rFonts w:cs="Arial"/>
                <w:b/>
                <w:color w:val="000000"/>
                <w:sz w:val="20"/>
                <w:lang w:val="en-US"/>
              </w:rPr>
              <w:t>Total Revenue</w:t>
            </w:r>
          </w:p>
        </w:tc>
        <w:tc>
          <w:tcPr>
            <w:tcW w:w="1440" w:type="dxa"/>
            <w:shd w:val="clear" w:color="auto" w:fill="auto"/>
            <w:noWrap/>
            <w:vAlign w:val="bottom"/>
            <w:hideMark/>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b/>
                <w:bCs/>
                <w:color w:val="000000"/>
                <w:kern w:val="24"/>
                <w:sz w:val="20"/>
                <w:szCs w:val="20"/>
              </w:rPr>
              <w:t>$126.53</w:t>
            </w:r>
          </w:p>
        </w:tc>
        <w:tc>
          <w:tcPr>
            <w:tcW w:w="1350" w:type="dxa"/>
            <w:shd w:val="clear" w:color="auto" w:fill="auto"/>
            <w:noWrap/>
            <w:vAlign w:val="bottom"/>
            <w:hideMark/>
          </w:tcPr>
          <w:p w:rsidR="00476733" w:rsidRPr="008A017F" w:rsidRDefault="00476733" w:rsidP="00C455B6">
            <w:pPr>
              <w:pStyle w:val="NormalWeb"/>
              <w:spacing w:line="281" w:lineRule="atLeast"/>
              <w:jc w:val="right"/>
              <w:textAlignment w:val="bottom"/>
              <w:rPr>
                <w:rFonts w:ascii="Arial" w:hAnsi="Arial" w:cs="Arial"/>
                <w:sz w:val="20"/>
                <w:szCs w:val="20"/>
              </w:rPr>
            </w:pPr>
            <w:r w:rsidRPr="007C4B6F">
              <w:rPr>
                <w:rFonts w:ascii="Arial" w:hAnsi="Arial" w:cs="Arial"/>
                <w:b/>
                <w:bCs/>
                <w:color w:val="000000"/>
                <w:kern w:val="24"/>
                <w:sz w:val="20"/>
                <w:szCs w:val="20"/>
              </w:rPr>
              <w:t>$135.91</w:t>
            </w:r>
          </w:p>
        </w:tc>
        <w:tc>
          <w:tcPr>
            <w:tcW w:w="1260" w:type="dxa"/>
            <w:shd w:val="clear" w:color="auto" w:fill="auto"/>
            <w:noWrap/>
            <w:vAlign w:val="bottom"/>
            <w:hideMark/>
          </w:tcPr>
          <w:p w:rsidR="00476733" w:rsidRPr="008A017F" w:rsidRDefault="00476733" w:rsidP="00C455B6">
            <w:pPr>
              <w:jc w:val="center"/>
              <w:rPr>
                <w:rFonts w:cs="Arial"/>
                <w:b/>
                <w:color w:val="000000"/>
                <w:sz w:val="20"/>
                <w:lang w:val="en-US"/>
              </w:rPr>
            </w:pPr>
            <w:r>
              <w:rPr>
                <w:rFonts w:cs="Arial"/>
                <w:b/>
                <w:color w:val="000000"/>
                <w:sz w:val="20"/>
                <w:lang w:val="en-US"/>
              </w:rPr>
              <w:t>7.4</w:t>
            </w:r>
            <w:r w:rsidRPr="008A017F">
              <w:rPr>
                <w:rFonts w:cs="Arial"/>
                <w:b/>
                <w:color w:val="000000"/>
                <w:sz w:val="20"/>
                <w:lang w:val="en-US"/>
              </w:rPr>
              <w:t>%</w:t>
            </w:r>
          </w:p>
        </w:tc>
        <w:tc>
          <w:tcPr>
            <w:tcW w:w="1260" w:type="dxa"/>
            <w:shd w:val="clear" w:color="auto" w:fill="auto"/>
            <w:noWrap/>
            <w:vAlign w:val="bottom"/>
            <w:hideMark/>
          </w:tcPr>
          <w:p w:rsidR="00476733" w:rsidRPr="008A017F" w:rsidRDefault="00476733" w:rsidP="00C455B6">
            <w:pPr>
              <w:jc w:val="center"/>
              <w:rPr>
                <w:rFonts w:cs="Arial"/>
                <w:b/>
                <w:color w:val="000000"/>
                <w:sz w:val="20"/>
                <w:lang w:val="en-US"/>
              </w:rPr>
            </w:pPr>
            <w:r w:rsidRPr="000C1686">
              <w:rPr>
                <w:rFonts w:cs="Arial"/>
                <w:b/>
                <w:color w:val="000000"/>
                <w:sz w:val="20"/>
                <w:lang w:val="en-US"/>
              </w:rPr>
              <w:t>100.0%</w:t>
            </w:r>
          </w:p>
        </w:tc>
      </w:tr>
    </w:tbl>
    <w:p w:rsidR="00476733" w:rsidRDefault="00476733"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lastRenderedPageBreak/>
        <w:t>Rates</w:t>
      </w:r>
      <w:r>
        <w:rPr>
          <w:rFonts w:ascii="Bookman Old Style" w:hAnsi="Bookman Old Style"/>
          <w:i/>
        </w:rPr>
        <w:t xml:space="preserve"> Income</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Rates for 2016/17 are recommended to increase by 3.0% in the City of Cockburn apart from caravan parks and large commercial industrial rates. In arriving at the recommended rates increase, a comprehensive review of the financial performance of the </w:t>
      </w:r>
      <w:r w:rsidRPr="00C333EF">
        <w:t xml:space="preserve">services and facilities </w:t>
      </w:r>
      <w:r>
        <w:t>provided by the City was undertaken.</w:t>
      </w:r>
      <w:r w:rsidRPr="00C333EF">
        <w:t> </w:t>
      </w:r>
      <w:r>
        <w:t>The objective of the review was to ensure that increased expenditure budgets were properly justified and warranted, with any growth in employee numbers strictly tied to growth in essential service delivery (e.g. waste collection, new Cockburn ARC facility). Non rating income including Council fees and charges was also assessed to ensure the City is optimising cost recovery opportunities.</w:t>
      </w:r>
    </w:p>
    <w:p w:rsidR="00476733" w:rsidRDefault="00476733" w:rsidP="00C455B6">
      <w:pPr>
        <w:tabs>
          <w:tab w:val="left" w:pos="720"/>
          <w:tab w:val="left" w:pos="1440"/>
        </w:tabs>
        <w:ind w:left="1440"/>
      </w:pPr>
    </w:p>
    <w:p w:rsidR="00476733" w:rsidRPr="00936BAD" w:rsidRDefault="00476733" w:rsidP="00C455B6">
      <w:pPr>
        <w:tabs>
          <w:tab w:val="left" w:pos="720"/>
          <w:tab w:val="left" w:pos="1440"/>
        </w:tabs>
        <w:ind w:left="1440"/>
      </w:pPr>
      <w:r>
        <w:t xml:space="preserve">The City will ensure that no residential ratepayer will receive an increase greater than 3.0% by way of the concession (discount) scheme introduced in 2015/16. This outcome has been audited by leading accounting firm Deloitte and a </w:t>
      </w:r>
      <w:r w:rsidRPr="005309E7">
        <w:t>copy of their report is attached to the agenda</w:t>
      </w:r>
      <w:r>
        <w:t xml:space="preserve">. The concession is needed due to the excessive </w:t>
      </w:r>
      <w:r w:rsidRPr="007D1854">
        <w:t xml:space="preserve">inflationary </w:t>
      </w:r>
      <w:r>
        <w:t xml:space="preserve">impact on high </w:t>
      </w:r>
      <w:proofErr w:type="spellStart"/>
      <w:r>
        <w:t>GRV</w:t>
      </w:r>
      <w:proofErr w:type="spellEnd"/>
      <w:r>
        <w:t xml:space="preserve"> properties from incorporating waste and security charges into the general rates in 2015/16. The incorporation of these charges into rates ensured that registered pensioners received a rebate on the total rates levied to them by Council. This benefit continues to apply in 2016/17 even though the State Government has implemented a rebate cap of $750 per pensioner property as against an unlimited amount in prior years. </w:t>
      </w:r>
      <w:r w:rsidRPr="00D4181B">
        <w:t>The City has approximately 5,700 pensioners who will receive up to an extra $264 rebate off their annual rates assessment this year.</w:t>
      </w:r>
      <w:r w:rsidRPr="002C292F">
        <w:t xml:space="preserve"> </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Overall, the average residential improved ratepayer will pay an </w:t>
      </w:r>
      <w:r w:rsidRPr="001944AC">
        <w:t>extra 90</w:t>
      </w:r>
      <w:r>
        <w:t xml:space="preserve"> </w:t>
      </w:r>
      <w:r w:rsidRPr="001944AC">
        <w:t>cents</w:t>
      </w:r>
      <w:r>
        <w:t xml:space="preserve"> per week after concession and for those on the minimum payment rate the increase will be 71</w:t>
      </w:r>
      <w:r>
        <w:rPr>
          <w:rFonts w:cs="Arial"/>
        </w:rPr>
        <w:t>¢</w:t>
      </w:r>
      <w:r>
        <w:t xml:space="preserve"> per week</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 following table shows are the proposed rates (in the dollar) for 2016/17</w:t>
      </w:r>
    </w:p>
    <w:p w:rsidR="00476733" w:rsidRDefault="00476733"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Table 2 – Proposed differential rates for 2016/17</w:t>
      </w:r>
    </w:p>
    <w:tbl>
      <w:tblPr>
        <w:tblW w:w="0" w:type="auto"/>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4A0" w:firstRow="1" w:lastRow="0" w:firstColumn="1" w:lastColumn="0" w:noHBand="0" w:noVBand="1"/>
      </w:tblPr>
      <w:tblGrid>
        <w:gridCol w:w="2340"/>
        <w:gridCol w:w="1710"/>
        <w:gridCol w:w="3600"/>
      </w:tblGrid>
      <w:tr w:rsidR="00476733" w:rsidTr="00C455B6">
        <w:trPr>
          <w:tblHeader/>
        </w:trPr>
        <w:tc>
          <w:tcPr>
            <w:tcW w:w="2340" w:type="dxa"/>
            <w:tcBorders>
              <w:top w:val="double" w:sz="4" w:space="0" w:color="auto"/>
              <w:bottom w:val="double" w:sz="4" w:space="0" w:color="auto"/>
            </w:tcBorders>
            <w:shd w:val="clear" w:color="auto" w:fill="auto"/>
            <w:vAlign w:val="center"/>
          </w:tcPr>
          <w:p w:rsidR="00476733" w:rsidRPr="007130A5" w:rsidRDefault="00476733" w:rsidP="00C455B6">
            <w:pPr>
              <w:tabs>
                <w:tab w:val="left" w:pos="720"/>
                <w:tab w:val="left" w:pos="1440"/>
              </w:tabs>
              <w:jc w:val="center"/>
              <w:rPr>
                <w:b/>
                <w:sz w:val="20"/>
              </w:rPr>
            </w:pPr>
            <w:r w:rsidRPr="007130A5">
              <w:rPr>
                <w:b/>
                <w:sz w:val="20"/>
              </w:rPr>
              <w:t>Rating Class</w:t>
            </w:r>
          </w:p>
        </w:tc>
        <w:tc>
          <w:tcPr>
            <w:tcW w:w="1710" w:type="dxa"/>
            <w:tcBorders>
              <w:top w:val="double" w:sz="4" w:space="0" w:color="auto"/>
              <w:bottom w:val="double" w:sz="4" w:space="0" w:color="auto"/>
            </w:tcBorders>
            <w:shd w:val="clear" w:color="auto" w:fill="auto"/>
            <w:vAlign w:val="center"/>
          </w:tcPr>
          <w:p w:rsidR="00476733" w:rsidRPr="007130A5" w:rsidRDefault="00476733" w:rsidP="00C455B6">
            <w:pPr>
              <w:tabs>
                <w:tab w:val="left" w:pos="720"/>
                <w:tab w:val="left" w:pos="1440"/>
              </w:tabs>
              <w:jc w:val="center"/>
              <w:rPr>
                <w:b/>
                <w:sz w:val="20"/>
              </w:rPr>
            </w:pPr>
            <w:r w:rsidRPr="007130A5">
              <w:rPr>
                <w:b/>
                <w:sz w:val="20"/>
              </w:rPr>
              <w:t xml:space="preserve">Recommended Rate </w:t>
            </w:r>
            <w:r>
              <w:rPr>
                <w:b/>
                <w:sz w:val="20"/>
              </w:rPr>
              <w:t xml:space="preserve"> - Cents </w:t>
            </w:r>
            <w:r w:rsidRPr="007130A5">
              <w:rPr>
                <w:b/>
                <w:sz w:val="20"/>
              </w:rPr>
              <w:t>in the Dollar</w:t>
            </w:r>
          </w:p>
        </w:tc>
        <w:tc>
          <w:tcPr>
            <w:tcW w:w="3600" w:type="dxa"/>
            <w:tcBorders>
              <w:top w:val="double" w:sz="4" w:space="0" w:color="auto"/>
              <w:bottom w:val="double" w:sz="4" w:space="0" w:color="auto"/>
            </w:tcBorders>
            <w:shd w:val="clear" w:color="auto" w:fill="auto"/>
            <w:vAlign w:val="center"/>
          </w:tcPr>
          <w:p w:rsidR="00476733" w:rsidRPr="007130A5" w:rsidRDefault="00476733" w:rsidP="00C455B6">
            <w:pPr>
              <w:tabs>
                <w:tab w:val="left" w:pos="720"/>
                <w:tab w:val="left" w:pos="1440"/>
              </w:tabs>
              <w:jc w:val="center"/>
              <w:rPr>
                <w:b/>
                <w:sz w:val="20"/>
              </w:rPr>
            </w:pPr>
            <w:r w:rsidRPr="007130A5">
              <w:rPr>
                <w:b/>
                <w:sz w:val="20"/>
              </w:rPr>
              <w:t>Comment</w:t>
            </w:r>
          </w:p>
        </w:tc>
      </w:tr>
      <w:tr w:rsidR="00476733" w:rsidTr="00C455B6">
        <w:tc>
          <w:tcPr>
            <w:tcW w:w="2340" w:type="dxa"/>
            <w:tcBorders>
              <w:top w:val="double" w:sz="4" w:space="0" w:color="auto"/>
            </w:tcBorders>
            <w:shd w:val="clear" w:color="auto" w:fill="auto"/>
          </w:tcPr>
          <w:p w:rsidR="00476733" w:rsidRPr="007130A5" w:rsidRDefault="00476733" w:rsidP="00C455B6">
            <w:pPr>
              <w:tabs>
                <w:tab w:val="left" w:pos="720"/>
                <w:tab w:val="left" w:pos="1440"/>
              </w:tabs>
              <w:jc w:val="left"/>
              <w:rPr>
                <w:sz w:val="20"/>
              </w:rPr>
            </w:pPr>
            <w:r w:rsidRPr="007130A5">
              <w:rPr>
                <w:sz w:val="20"/>
              </w:rPr>
              <w:t>Commercial &amp; Industrial – Improved</w:t>
            </w:r>
          </w:p>
        </w:tc>
        <w:tc>
          <w:tcPr>
            <w:tcW w:w="1710" w:type="dxa"/>
            <w:tcBorders>
              <w:top w:val="double" w:sz="4" w:space="0" w:color="auto"/>
            </w:tcBorders>
            <w:shd w:val="clear" w:color="auto" w:fill="auto"/>
          </w:tcPr>
          <w:p w:rsidR="00476733" w:rsidRPr="007130A5" w:rsidRDefault="00476733" w:rsidP="00C455B6">
            <w:pPr>
              <w:tabs>
                <w:tab w:val="left" w:pos="720"/>
                <w:tab w:val="left" w:pos="1440"/>
              </w:tabs>
              <w:jc w:val="center"/>
              <w:rPr>
                <w:sz w:val="20"/>
              </w:rPr>
            </w:pPr>
            <w:r>
              <w:rPr>
                <w:sz w:val="20"/>
              </w:rPr>
              <w:t>7.550</w:t>
            </w:r>
          </w:p>
        </w:tc>
        <w:tc>
          <w:tcPr>
            <w:tcW w:w="3600" w:type="dxa"/>
            <w:tcBorders>
              <w:top w:val="double" w:sz="4" w:space="0" w:color="auto"/>
            </w:tcBorders>
            <w:shd w:val="clear" w:color="auto" w:fill="auto"/>
          </w:tcPr>
          <w:p w:rsidR="00476733" w:rsidRPr="007130A5" w:rsidRDefault="00476733" w:rsidP="00C455B6">
            <w:pPr>
              <w:tabs>
                <w:tab w:val="left" w:pos="720"/>
                <w:tab w:val="left" w:pos="1440"/>
              </w:tabs>
              <w:jc w:val="left"/>
              <w:rPr>
                <w:sz w:val="20"/>
              </w:rPr>
            </w:pPr>
            <w:r>
              <w:rPr>
                <w:sz w:val="20"/>
              </w:rPr>
              <w:t>Increase by 3.0%</w:t>
            </w:r>
          </w:p>
        </w:tc>
      </w:tr>
      <w:tr w:rsidR="00476733" w:rsidTr="00C455B6">
        <w:tc>
          <w:tcPr>
            <w:tcW w:w="2340" w:type="dxa"/>
            <w:shd w:val="clear" w:color="auto" w:fill="auto"/>
          </w:tcPr>
          <w:p w:rsidR="00476733" w:rsidRPr="007130A5" w:rsidRDefault="00476733" w:rsidP="00C455B6">
            <w:pPr>
              <w:tabs>
                <w:tab w:val="left" w:pos="720"/>
                <w:tab w:val="left" w:pos="1440"/>
              </w:tabs>
              <w:jc w:val="left"/>
              <w:rPr>
                <w:sz w:val="20"/>
              </w:rPr>
            </w:pPr>
            <w:r>
              <w:rPr>
                <w:sz w:val="20"/>
              </w:rPr>
              <w:t>Residential Improved</w:t>
            </w:r>
          </w:p>
        </w:tc>
        <w:tc>
          <w:tcPr>
            <w:tcW w:w="1710" w:type="dxa"/>
            <w:shd w:val="clear" w:color="auto" w:fill="auto"/>
          </w:tcPr>
          <w:p w:rsidR="00476733" w:rsidRDefault="00476733" w:rsidP="00C455B6">
            <w:pPr>
              <w:tabs>
                <w:tab w:val="left" w:pos="720"/>
                <w:tab w:val="left" w:pos="1440"/>
              </w:tabs>
              <w:jc w:val="center"/>
              <w:rPr>
                <w:sz w:val="20"/>
              </w:rPr>
            </w:pPr>
            <w:r>
              <w:rPr>
                <w:sz w:val="20"/>
              </w:rPr>
              <w:t>7.286</w:t>
            </w:r>
          </w:p>
        </w:tc>
        <w:tc>
          <w:tcPr>
            <w:tcW w:w="3600" w:type="dxa"/>
            <w:shd w:val="clear" w:color="auto" w:fill="auto"/>
          </w:tcPr>
          <w:p w:rsidR="00476733" w:rsidRPr="007130A5" w:rsidRDefault="00476733" w:rsidP="00C455B6">
            <w:pPr>
              <w:tabs>
                <w:tab w:val="left" w:pos="720"/>
                <w:tab w:val="left" w:pos="1440"/>
              </w:tabs>
              <w:jc w:val="left"/>
              <w:rPr>
                <w:sz w:val="20"/>
              </w:rPr>
            </w:pPr>
            <w:r>
              <w:rPr>
                <w:sz w:val="20"/>
              </w:rPr>
              <w:t>Increase by 3.0% after the concession.</w:t>
            </w:r>
          </w:p>
        </w:tc>
      </w:tr>
      <w:tr w:rsidR="00476733" w:rsidTr="00C455B6">
        <w:tc>
          <w:tcPr>
            <w:tcW w:w="2340" w:type="dxa"/>
            <w:shd w:val="clear" w:color="auto" w:fill="auto"/>
          </w:tcPr>
          <w:p w:rsidR="00476733" w:rsidRPr="007130A5" w:rsidRDefault="00476733" w:rsidP="00C455B6">
            <w:pPr>
              <w:tabs>
                <w:tab w:val="left" w:pos="720"/>
                <w:tab w:val="left" w:pos="1440"/>
              </w:tabs>
              <w:jc w:val="left"/>
              <w:rPr>
                <w:sz w:val="20"/>
              </w:rPr>
            </w:pPr>
            <w:r w:rsidRPr="007130A5">
              <w:rPr>
                <w:sz w:val="20"/>
              </w:rPr>
              <w:t>Commercial &amp; Industrial -Improved Large</w:t>
            </w:r>
          </w:p>
        </w:tc>
        <w:tc>
          <w:tcPr>
            <w:tcW w:w="1710" w:type="dxa"/>
            <w:shd w:val="clear" w:color="auto" w:fill="auto"/>
          </w:tcPr>
          <w:p w:rsidR="00476733" w:rsidRPr="007130A5" w:rsidRDefault="00476733" w:rsidP="00C455B6">
            <w:pPr>
              <w:tabs>
                <w:tab w:val="left" w:pos="720"/>
                <w:tab w:val="left" w:pos="1440"/>
              </w:tabs>
              <w:jc w:val="center"/>
              <w:rPr>
                <w:sz w:val="20"/>
              </w:rPr>
            </w:pPr>
            <w:r w:rsidRPr="007130A5">
              <w:rPr>
                <w:sz w:val="20"/>
              </w:rPr>
              <w:t>8.058</w:t>
            </w:r>
          </w:p>
        </w:tc>
        <w:tc>
          <w:tcPr>
            <w:tcW w:w="3600" w:type="dxa"/>
            <w:shd w:val="clear" w:color="auto" w:fill="auto"/>
          </w:tcPr>
          <w:p w:rsidR="00476733" w:rsidRPr="007130A5" w:rsidRDefault="00476733" w:rsidP="00C455B6">
            <w:pPr>
              <w:tabs>
                <w:tab w:val="left" w:pos="720"/>
                <w:tab w:val="left" w:pos="1440"/>
              </w:tabs>
              <w:jc w:val="left"/>
              <w:rPr>
                <w:sz w:val="20"/>
              </w:rPr>
            </w:pPr>
            <w:r>
              <w:rPr>
                <w:sz w:val="20"/>
              </w:rPr>
              <w:t>Not subject to an increase for 2016/17</w:t>
            </w:r>
          </w:p>
        </w:tc>
      </w:tr>
      <w:tr w:rsidR="00476733" w:rsidTr="00C455B6">
        <w:tc>
          <w:tcPr>
            <w:tcW w:w="2340" w:type="dxa"/>
            <w:shd w:val="clear" w:color="auto" w:fill="auto"/>
          </w:tcPr>
          <w:p w:rsidR="00476733" w:rsidRPr="007130A5" w:rsidRDefault="00476733" w:rsidP="00C455B6">
            <w:pPr>
              <w:tabs>
                <w:tab w:val="left" w:pos="720"/>
                <w:tab w:val="left" w:pos="1440"/>
              </w:tabs>
              <w:jc w:val="left"/>
              <w:rPr>
                <w:sz w:val="20"/>
              </w:rPr>
            </w:pPr>
            <w:r w:rsidRPr="007130A5">
              <w:rPr>
                <w:sz w:val="20"/>
              </w:rPr>
              <w:t>Caravan Parks</w:t>
            </w:r>
          </w:p>
        </w:tc>
        <w:tc>
          <w:tcPr>
            <w:tcW w:w="1710" w:type="dxa"/>
            <w:shd w:val="clear" w:color="auto" w:fill="auto"/>
          </w:tcPr>
          <w:p w:rsidR="00476733" w:rsidRPr="007130A5" w:rsidRDefault="00476733" w:rsidP="00C455B6">
            <w:pPr>
              <w:tabs>
                <w:tab w:val="left" w:pos="720"/>
                <w:tab w:val="left" w:pos="1440"/>
              </w:tabs>
              <w:jc w:val="center"/>
              <w:rPr>
                <w:sz w:val="20"/>
              </w:rPr>
            </w:pPr>
            <w:r>
              <w:rPr>
                <w:sz w:val="20"/>
              </w:rPr>
              <w:t>9.500</w:t>
            </w:r>
          </w:p>
        </w:tc>
        <w:tc>
          <w:tcPr>
            <w:tcW w:w="3600" w:type="dxa"/>
            <w:shd w:val="clear" w:color="auto" w:fill="auto"/>
          </w:tcPr>
          <w:p w:rsidR="00476733" w:rsidRPr="007130A5" w:rsidRDefault="00476733" w:rsidP="00C455B6">
            <w:pPr>
              <w:tabs>
                <w:tab w:val="left" w:pos="720"/>
                <w:tab w:val="left" w:pos="1440"/>
              </w:tabs>
              <w:jc w:val="left"/>
              <w:rPr>
                <w:sz w:val="20"/>
              </w:rPr>
            </w:pPr>
            <w:r>
              <w:rPr>
                <w:sz w:val="20"/>
              </w:rPr>
              <w:t>Plan to increase rate in $ over 10 years to yield the equivalent of 80% of the residential minimum payment</w:t>
            </w:r>
            <w:r w:rsidRPr="00F877E9">
              <w:rPr>
                <w:sz w:val="20"/>
              </w:rPr>
              <w:t>. Pension rebates will apply once target rate has been reached.</w:t>
            </w:r>
          </w:p>
        </w:tc>
      </w:tr>
      <w:tr w:rsidR="00476733" w:rsidTr="00C455B6">
        <w:tc>
          <w:tcPr>
            <w:tcW w:w="2340" w:type="dxa"/>
            <w:shd w:val="clear" w:color="auto" w:fill="auto"/>
          </w:tcPr>
          <w:p w:rsidR="00476733" w:rsidRPr="007130A5" w:rsidRDefault="00476733" w:rsidP="00C455B6">
            <w:pPr>
              <w:tabs>
                <w:tab w:val="left" w:pos="720"/>
                <w:tab w:val="left" w:pos="1440"/>
              </w:tabs>
              <w:jc w:val="left"/>
              <w:rPr>
                <w:sz w:val="20"/>
              </w:rPr>
            </w:pPr>
            <w:r w:rsidRPr="007130A5">
              <w:rPr>
                <w:sz w:val="20"/>
              </w:rPr>
              <w:t xml:space="preserve">Commercial &amp; Industrial </w:t>
            </w:r>
            <w:r>
              <w:rPr>
                <w:sz w:val="20"/>
              </w:rPr>
              <w:lastRenderedPageBreak/>
              <w:t>–</w:t>
            </w:r>
            <w:r w:rsidRPr="007130A5">
              <w:rPr>
                <w:sz w:val="20"/>
              </w:rPr>
              <w:t xml:space="preserve"> Vacant</w:t>
            </w:r>
          </w:p>
        </w:tc>
        <w:tc>
          <w:tcPr>
            <w:tcW w:w="1710" w:type="dxa"/>
            <w:shd w:val="clear" w:color="auto" w:fill="auto"/>
          </w:tcPr>
          <w:p w:rsidR="00476733" w:rsidRPr="007130A5" w:rsidRDefault="00476733" w:rsidP="00C455B6">
            <w:pPr>
              <w:tabs>
                <w:tab w:val="left" w:pos="720"/>
                <w:tab w:val="left" w:pos="1440"/>
              </w:tabs>
              <w:jc w:val="center"/>
              <w:rPr>
                <w:sz w:val="20"/>
              </w:rPr>
            </w:pPr>
            <w:r>
              <w:rPr>
                <w:sz w:val="20"/>
              </w:rPr>
              <w:lastRenderedPageBreak/>
              <w:t>9.391</w:t>
            </w:r>
          </w:p>
        </w:tc>
        <w:tc>
          <w:tcPr>
            <w:tcW w:w="3600" w:type="dxa"/>
            <w:shd w:val="clear" w:color="auto" w:fill="auto"/>
          </w:tcPr>
          <w:p w:rsidR="00476733" w:rsidRPr="007130A5" w:rsidRDefault="00476733" w:rsidP="00C455B6">
            <w:pPr>
              <w:tabs>
                <w:tab w:val="left" w:pos="720"/>
                <w:tab w:val="left" w:pos="1440"/>
              </w:tabs>
              <w:jc w:val="left"/>
              <w:rPr>
                <w:sz w:val="20"/>
              </w:rPr>
            </w:pPr>
            <w:r>
              <w:rPr>
                <w:sz w:val="20"/>
              </w:rPr>
              <w:t>Increase by 3.0%</w:t>
            </w:r>
          </w:p>
        </w:tc>
      </w:tr>
      <w:tr w:rsidR="00476733" w:rsidTr="00C455B6">
        <w:tc>
          <w:tcPr>
            <w:tcW w:w="2340" w:type="dxa"/>
            <w:shd w:val="clear" w:color="auto" w:fill="auto"/>
          </w:tcPr>
          <w:p w:rsidR="00476733" w:rsidRPr="007130A5" w:rsidRDefault="00476733" w:rsidP="00C455B6">
            <w:pPr>
              <w:tabs>
                <w:tab w:val="left" w:pos="720"/>
                <w:tab w:val="left" w:pos="1440"/>
              </w:tabs>
              <w:jc w:val="left"/>
              <w:rPr>
                <w:sz w:val="20"/>
              </w:rPr>
            </w:pPr>
            <w:r w:rsidRPr="007130A5">
              <w:rPr>
                <w:sz w:val="20"/>
              </w:rPr>
              <w:lastRenderedPageBreak/>
              <w:t xml:space="preserve">Residential </w:t>
            </w:r>
            <w:r>
              <w:rPr>
                <w:sz w:val="20"/>
              </w:rPr>
              <w:t>–</w:t>
            </w:r>
            <w:r w:rsidRPr="007130A5">
              <w:rPr>
                <w:sz w:val="20"/>
              </w:rPr>
              <w:t xml:space="preserve"> Vacant</w:t>
            </w:r>
          </w:p>
        </w:tc>
        <w:tc>
          <w:tcPr>
            <w:tcW w:w="1710" w:type="dxa"/>
            <w:shd w:val="clear" w:color="auto" w:fill="auto"/>
          </w:tcPr>
          <w:p w:rsidR="00476733" w:rsidRPr="007130A5" w:rsidRDefault="00476733" w:rsidP="00C455B6">
            <w:pPr>
              <w:tabs>
                <w:tab w:val="left" w:pos="720"/>
                <w:tab w:val="left" w:pos="1440"/>
              </w:tabs>
              <w:jc w:val="center"/>
              <w:rPr>
                <w:sz w:val="20"/>
              </w:rPr>
            </w:pPr>
            <w:r>
              <w:rPr>
                <w:sz w:val="20"/>
              </w:rPr>
              <w:t>9.391</w:t>
            </w:r>
          </w:p>
        </w:tc>
        <w:tc>
          <w:tcPr>
            <w:tcW w:w="3600" w:type="dxa"/>
            <w:shd w:val="clear" w:color="auto" w:fill="auto"/>
          </w:tcPr>
          <w:p w:rsidR="00476733" w:rsidRPr="007130A5" w:rsidRDefault="00476733" w:rsidP="00C455B6">
            <w:pPr>
              <w:tabs>
                <w:tab w:val="left" w:pos="720"/>
                <w:tab w:val="left" w:pos="1440"/>
              </w:tabs>
              <w:jc w:val="left"/>
              <w:rPr>
                <w:sz w:val="20"/>
              </w:rPr>
            </w:pPr>
            <w:r>
              <w:rPr>
                <w:sz w:val="20"/>
              </w:rPr>
              <w:t>Increase by 3.0%</w:t>
            </w:r>
          </w:p>
        </w:tc>
      </w:tr>
    </w:tbl>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 City applied to have a number of properties converted from Unimproved Value (UV) to Gross Rental Value (</w:t>
      </w:r>
      <w:proofErr w:type="spellStart"/>
      <w:r>
        <w:t>GRV</w:t>
      </w:r>
      <w:proofErr w:type="spellEnd"/>
      <w:r>
        <w:t>) for valuation and rating purposes. The Minister for Local Government accepted the City’s application and has converted 56 properties as a result. The City now has only 330 UV properties and continues to consult with landowners about the efficacy of the UV valuation method for their property.</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There is no recommended rate increase for improved large commercial and industrial properties. The City is seeking to have this rate equalised with the standard commercial and industrial properties. This is envisaged to take another three years. This process has been undertaken in consultation with the </w:t>
      </w:r>
      <w:proofErr w:type="spellStart"/>
      <w:r>
        <w:t>DLGC</w:t>
      </w:r>
      <w:proofErr w:type="spellEnd"/>
      <w:r>
        <w:t>.</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Caravan Parks in Cockburn have predominantly become permanent home sites. The aim of the rating strategy is to ensure that if this continues, the residents make a contribution similar to other ratepayers. The aim is to steadily increase the contribution from the approximate 40% of the minimum to 80% of the minimum payment rate charge over the next ten years. </w:t>
      </w:r>
      <w:r w:rsidRPr="00F877E9">
        <w:t xml:space="preserve">The City </w:t>
      </w:r>
      <w:r w:rsidRPr="00D4181B">
        <w:t xml:space="preserve">aims to </w:t>
      </w:r>
      <w:r w:rsidRPr="00F877E9">
        <w:t>also facilitate pension rebates once the minimum contribution reaches $643.50 (in 2016/17 terms). They currently pay $514.80.</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Rates levied on ratepayers form a significant portion of the City’s operating income. This year, that portion accounts for 70.6%.  </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Cockburn home owners paid the lowest household rates in 2015/16. The Table below from 201516 supports the supposition that Cockburn residential improved ratepayers continues to pay low rates when compared with neighbouring Councils (incorporating rates and waste):</w:t>
      </w:r>
    </w:p>
    <w:p w:rsidR="00476733" w:rsidRDefault="00476733" w:rsidP="00C455B6">
      <w:pPr>
        <w:tabs>
          <w:tab w:val="left" w:pos="720"/>
          <w:tab w:val="left" w:pos="1440"/>
        </w:tabs>
        <w:ind w:left="1440"/>
        <w:rPr>
          <w:i/>
          <w:sz w:val="20"/>
        </w:rPr>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Table 3 – Comparison of average rates for 2015/16</w:t>
      </w:r>
    </w:p>
    <w:tbl>
      <w:tblPr>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787"/>
        <w:gridCol w:w="1984"/>
        <w:gridCol w:w="1984"/>
        <w:gridCol w:w="1985"/>
      </w:tblGrid>
      <w:tr w:rsidR="00476733" w:rsidRPr="00C10773" w:rsidTr="00C455B6">
        <w:tc>
          <w:tcPr>
            <w:tcW w:w="1787" w:type="dxa"/>
            <w:tcBorders>
              <w:top w:val="double" w:sz="4" w:space="0" w:color="auto"/>
              <w:bottom w:val="double" w:sz="4" w:space="0" w:color="auto"/>
            </w:tcBorders>
            <w:shd w:val="clear" w:color="auto" w:fill="auto"/>
          </w:tcPr>
          <w:p w:rsidR="00476733" w:rsidRPr="00C10773" w:rsidRDefault="00476733" w:rsidP="00C455B6">
            <w:pPr>
              <w:tabs>
                <w:tab w:val="left" w:pos="720"/>
                <w:tab w:val="left" w:pos="1440"/>
              </w:tabs>
              <w:jc w:val="center"/>
              <w:rPr>
                <w:rFonts w:cs="Arial"/>
                <w:b/>
                <w:sz w:val="20"/>
              </w:rPr>
            </w:pPr>
            <w:r w:rsidRPr="00C10773">
              <w:rPr>
                <w:rFonts w:cs="Arial"/>
                <w:b/>
                <w:sz w:val="20"/>
              </w:rPr>
              <w:t>Council</w:t>
            </w:r>
          </w:p>
        </w:tc>
        <w:tc>
          <w:tcPr>
            <w:tcW w:w="1984" w:type="dxa"/>
            <w:tcBorders>
              <w:top w:val="double" w:sz="4" w:space="0" w:color="auto"/>
              <w:bottom w:val="double" w:sz="4" w:space="0" w:color="auto"/>
            </w:tcBorders>
          </w:tcPr>
          <w:p w:rsidR="00476733" w:rsidRPr="00C10773" w:rsidRDefault="00476733" w:rsidP="00C455B6">
            <w:pPr>
              <w:tabs>
                <w:tab w:val="left" w:pos="720"/>
                <w:tab w:val="left" w:pos="1440"/>
              </w:tabs>
              <w:jc w:val="center"/>
              <w:rPr>
                <w:rFonts w:cs="Arial"/>
                <w:b/>
                <w:sz w:val="20"/>
              </w:rPr>
            </w:pPr>
            <w:r w:rsidRPr="00C10773">
              <w:rPr>
                <w:rFonts w:cs="Arial"/>
                <w:b/>
                <w:sz w:val="20"/>
              </w:rPr>
              <w:t>Residential Average Rates</w:t>
            </w:r>
          </w:p>
        </w:tc>
        <w:tc>
          <w:tcPr>
            <w:tcW w:w="1984" w:type="dxa"/>
            <w:tcBorders>
              <w:top w:val="double" w:sz="4" w:space="0" w:color="auto"/>
              <w:bottom w:val="double" w:sz="4" w:space="0" w:color="auto"/>
            </w:tcBorders>
            <w:shd w:val="clear" w:color="auto" w:fill="auto"/>
          </w:tcPr>
          <w:p w:rsidR="00476733" w:rsidRPr="00C10773" w:rsidRDefault="00476733" w:rsidP="00C455B6">
            <w:pPr>
              <w:tabs>
                <w:tab w:val="left" w:pos="720"/>
                <w:tab w:val="left" w:pos="1440"/>
              </w:tabs>
              <w:jc w:val="center"/>
              <w:rPr>
                <w:rFonts w:cs="Arial"/>
                <w:b/>
                <w:sz w:val="20"/>
              </w:rPr>
            </w:pPr>
            <w:r w:rsidRPr="00C10773">
              <w:rPr>
                <w:rFonts w:cs="Arial"/>
                <w:b/>
                <w:sz w:val="20"/>
              </w:rPr>
              <w:t>Minimum Rates Payment</w:t>
            </w:r>
          </w:p>
        </w:tc>
        <w:tc>
          <w:tcPr>
            <w:tcW w:w="1985" w:type="dxa"/>
            <w:tcBorders>
              <w:top w:val="double" w:sz="4" w:space="0" w:color="auto"/>
              <w:bottom w:val="double" w:sz="4" w:space="0" w:color="auto"/>
            </w:tcBorders>
            <w:shd w:val="clear" w:color="auto" w:fill="auto"/>
          </w:tcPr>
          <w:p w:rsidR="00476733" w:rsidRPr="00C10773" w:rsidRDefault="00476733" w:rsidP="00C455B6">
            <w:pPr>
              <w:tabs>
                <w:tab w:val="left" w:pos="720"/>
                <w:tab w:val="left" w:pos="1440"/>
              </w:tabs>
              <w:jc w:val="center"/>
              <w:rPr>
                <w:rFonts w:cs="Arial"/>
                <w:b/>
                <w:sz w:val="20"/>
              </w:rPr>
            </w:pPr>
            <w:r w:rsidRPr="00C10773">
              <w:rPr>
                <w:rFonts w:cs="Arial"/>
                <w:b/>
                <w:sz w:val="20"/>
              </w:rPr>
              <w:t xml:space="preserve">Residential Average Rates excluding impact of Min Payment </w:t>
            </w:r>
          </w:p>
        </w:tc>
      </w:tr>
      <w:tr w:rsidR="00476733" w:rsidRPr="00C10773" w:rsidTr="00C455B6">
        <w:tc>
          <w:tcPr>
            <w:tcW w:w="1787" w:type="dxa"/>
            <w:tcBorders>
              <w:top w:val="double" w:sz="4" w:space="0" w:color="auto"/>
            </w:tcBorders>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Cockburn</w:t>
            </w:r>
          </w:p>
        </w:tc>
        <w:tc>
          <w:tcPr>
            <w:tcW w:w="1984" w:type="dxa"/>
            <w:tcBorders>
              <w:top w:val="double" w:sz="4" w:space="0" w:color="auto"/>
            </w:tcBorders>
            <w:vAlign w:val="bottom"/>
          </w:tcPr>
          <w:p w:rsidR="00476733" w:rsidRPr="00C10773" w:rsidRDefault="00476733" w:rsidP="00C455B6">
            <w:pPr>
              <w:jc w:val="center"/>
              <w:rPr>
                <w:rFonts w:cs="Arial"/>
                <w:color w:val="000000"/>
                <w:sz w:val="20"/>
              </w:rPr>
            </w:pPr>
            <w:r w:rsidRPr="00C10773">
              <w:rPr>
                <w:rFonts w:cs="Arial"/>
                <w:color w:val="000000"/>
                <w:sz w:val="20"/>
              </w:rPr>
              <w:t>$1,458</w:t>
            </w:r>
          </w:p>
        </w:tc>
        <w:tc>
          <w:tcPr>
            <w:tcW w:w="1984" w:type="dxa"/>
            <w:tcBorders>
              <w:top w:val="double" w:sz="4" w:space="0" w:color="auto"/>
            </w:tcBorders>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$1,250</w:t>
            </w:r>
          </w:p>
        </w:tc>
        <w:tc>
          <w:tcPr>
            <w:tcW w:w="1985" w:type="dxa"/>
            <w:tcBorders>
              <w:top w:val="double" w:sz="4" w:space="0" w:color="auto"/>
            </w:tcBorders>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$1,552</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Melville</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$1,663</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$1,264</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$1,769</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Fremantle</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$1,655</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$1,222</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$1,864</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Kwinana</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$1,615</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$1,356</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$1,667</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East Fremantle</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$1,837</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$1,000</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$1,914</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Rockingham</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$1,564</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$1,429</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$1,709</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Wanneroo</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$1,510</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$1,261</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$1,588</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Swan</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$1,622</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$1,217</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$1,668</w:t>
            </w:r>
          </w:p>
        </w:tc>
      </w:tr>
      <w:tr w:rsidR="00476733" w:rsidRPr="00C10773" w:rsidTr="00C455B6">
        <w:tc>
          <w:tcPr>
            <w:tcW w:w="1787" w:type="dxa"/>
            <w:shd w:val="clear" w:color="auto" w:fill="auto"/>
          </w:tcPr>
          <w:p w:rsidR="00476733" w:rsidRPr="00C10773" w:rsidRDefault="00476733" w:rsidP="00C455B6">
            <w:pPr>
              <w:tabs>
                <w:tab w:val="left" w:pos="720"/>
                <w:tab w:val="left" w:pos="1440"/>
              </w:tabs>
              <w:rPr>
                <w:rFonts w:cs="Arial"/>
                <w:sz w:val="20"/>
              </w:rPr>
            </w:pPr>
            <w:r w:rsidRPr="00C10773">
              <w:rPr>
                <w:rFonts w:cs="Arial"/>
                <w:sz w:val="20"/>
              </w:rPr>
              <w:t>Armadale</w:t>
            </w:r>
          </w:p>
        </w:tc>
        <w:tc>
          <w:tcPr>
            <w:tcW w:w="1984" w:type="dxa"/>
            <w:vAlign w:val="bottom"/>
          </w:tcPr>
          <w:p w:rsidR="00476733" w:rsidRPr="00C10773" w:rsidRDefault="00476733" w:rsidP="00C455B6">
            <w:pPr>
              <w:jc w:val="center"/>
              <w:rPr>
                <w:rFonts w:cs="Arial"/>
                <w:color w:val="000000"/>
                <w:sz w:val="20"/>
              </w:rPr>
            </w:pPr>
            <w:r w:rsidRPr="00C10773">
              <w:rPr>
                <w:rFonts w:cs="Arial"/>
                <w:color w:val="000000"/>
                <w:sz w:val="20"/>
              </w:rPr>
              <w:t>$1,777</w:t>
            </w:r>
          </w:p>
        </w:tc>
        <w:tc>
          <w:tcPr>
            <w:tcW w:w="1984"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$1,422</w:t>
            </w:r>
          </w:p>
        </w:tc>
        <w:tc>
          <w:tcPr>
            <w:tcW w:w="1985" w:type="dxa"/>
            <w:shd w:val="clear" w:color="auto" w:fill="auto"/>
            <w:vAlign w:val="bottom"/>
          </w:tcPr>
          <w:p w:rsidR="00476733" w:rsidRPr="00C10773" w:rsidRDefault="00476733" w:rsidP="00C455B6">
            <w:pPr>
              <w:jc w:val="center"/>
              <w:rPr>
                <w:rFonts w:cs="Arial"/>
                <w:color w:val="000000"/>
                <w:sz w:val="20"/>
              </w:rPr>
            </w:pPr>
            <w:r w:rsidRPr="00C10773">
              <w:rPr>
                <w:rFonts w:cs="Arial"/>
                <w:color w:val="000000"/>
                <w:sz w:val="20"/>
              </w:rPr>
              <w:t>$2,002</w:t>
            </w:r>
          </w:p>
        </w:tc>
      </w:tr>
    </w:tbl>
    <w:p w:rsidR="00476733" w:rsidRPr="00C10773" w:rsidRDefault="00476733" w:rsidP="00C455B6">
      <w:pPr>
        <w:tabs>
          <w:tab w:val="left" w:pos="720"/>
          <w:tab w:val="left" w:pos="1440"/>
        </w:tabs>
        <w:ind w:left="1440"/>
        <w:rPr>
          <w:rFonts w:ascii="Bookman Old Style" w:hAnsi="Bookman Old Style"/>
          <w:i/>
          <w:sz w:val="18"/>
          <w:szCs w:val="18"/>
        </w:rPr>
      </w:pPr>
      <w:r w:rsidRPr="00C10773">
        <w:rPr>
          <w:rFonts w:ascii="Bookman Old Style" w:hAnsi="Bookman Old Style"/>
          <w:i/>
          <w:sz w:val="18"/>
          <w:szCs w:val="18"/>
        </w:rPr>
        <w:t xml:space="preserve">Cockburn, Melville, Fremantle, East Fremantle &amp; Wanneroo include their waste charge in the rate in dollar/minimum payment. Kwinana, Rockingham, Swan &amp; Armadale have a separate waste charge which has been added to their average rates &amp; minimum </w:t>
      </w:r>
      <w:r w:rsidRPr="00C10773">
        <w:rPr>
          <w:rFonts w:ascii="Bookman Old Style" w:hAnsi="Bookman Old Style"/>
          <w:i/>
          <w:sz w:val="18"/>
          <w:szCs w:val="18"/>
        </w:rPr>
        <w:lastRenderedPageBreak/>
        <w:t xml:space="preserve">payment. Cockburn, Melville and Rockingham have a security charge which has also been included. For Cockburn, the figures in the table are post concession. Average rates </w:t>
      </w:r>
      <w:r>
        <w:rPr>
          <w:rFonts w:ascii="Bookman Old Style" w:hAnsi="Bookman Old Style"/>
          <w:i/>
          <w:sz w:val="18"/>
          <w:szCs w:val="18"/>
        </w:rPr>
        <w:t>are</w:t>
      </w:r>
      <w:r w:rsidRPr="00C10773">
        <w:rPr>
          <w:rFonts w:ascii="Bookman Old Style" w:hAnsi="Bookman Old Style"/>
          <w:i/>
          <w:sz w:val="18"/>
          <w:szCs w:val="18"/>
        </w:rPr>
        <w:t xml:space="preserve"> calculated by taking the rates raised divided by the number of properties</w:t>
      </w:r>
    </w:p>
    <w:p w:rsidR="00476733" w:rsidRPr="007E16C2" w:rsidRDefault="00476733" w:rsidP="00C455B6">
      <w:pPr>
        <w:tabs>
          <w:tab w:val="left" w:pos="720"/>
          <w:tab w:val="left" w:pos="1440"/>
        </w:tabs>
        <w:ind w:left="1440"/>
        <w:rPr>
          <w:rFonts w:ascii="Bookman Old Style" w:hAnsi="Bookman Old Style"/>
          <w:i/>
          <w:sz w:val="18"/>
          <w:szCs w:val="18"/>
        </w:rPr>
      </w:pPr>
    </w:p>
    <w:p w:rsidR="00476733" w:rsidRPr="00C10773" w:rsidRDefault="00476733" w:rsidP="00C455B6">
      <w:pPr>
        <w:tabs>
          <w:tab w:val="left" w:pos="720"/>
          <w:tab w:val="left" w:pos="1440"/>
        </w:tabs>
        <w:ind w:left="1440"/>
      </w:pPr>
      <w:r w:rsidRPr="00C10773">
        <w:t>A number of Council</w:t>
      </w:r>
      <w:r>
        <w:t>s</w:t>
      </w:r>
      <w:r w:rsidRPr="00C10773">
        <w:t xml:space="preserve"> point to their lower rate in the dollar to indicate that they have lower rates than Cockburn but don’t quote that their average </w:t>
      </w:r>
      <w:proofErr w:type="spellStart"/>
      <w:r w:rsidRPr="00C10773">
        <w:t>GRV</w:t>
      </w:r>
      <w:proofErr w:type="spellEnd"/>
      <w:r w:rsidRPr="00C10773">
        <w:t xml:space="preserve"> is significantly higher than Cockburn’s.  The following tables graphically illustrate that:</w:t>
      </w:r>
    </w:p>
    <w:p w:rsidR="00476733" w:rsidRPr="00C10773" w:rsidRDefault="00476733" w:rsidP="00C455B6">
      <w:pPr>
        <w:tabs>
          <w:tab w:val="left" w:pos="720"/>
          <w:tab w:val="left" w:pos="1440"/>
        </w:tabs>
        <w:ind w:left="1440"/>
      </w:pPr>
    </w:p>
    <w:p w:rsidR="00476733" w:rsidRDefault="00476733" w:rsidP="00C455B6">
      <w:pPr>
        <w:tabs>
          <w:tab w:val="left" w:pos="720"/>
          <w:tab w:val="left" w:pos="1440"/>
        </w:tabs>
        <w:ind w:left="1440"/>
      </w:pPr>
      <w:r w:rsidRPr="00C10773">
        <w:t>Cockburn’s average residential improved rate is the lowest amongst neighbouring councils and even when compared to other growth Councils:</w:t>
      </w:r>
    </w:p>
    <w:p w:rsidR="00476733" w:rsidRDefault="00476733"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Graph 1 – Comparison of average rates for residential improved properties for 2015/16</w:t>
      </w:r>
    </w:p>
    <w:p w:rsidR="00476733" w:rsidRDefault="00101864" w:rsidP="00C455B6">
      <w:pPr>
        <w:tabs>
          <w:tab w:val="left" w:pos="720"/>
          <w:tab w:val="left" w:pos="1440"/>
        </w:tabs>
        <w:ind w:left="1440"/>
      </w:pPr>
      <w:r>
        <w:rPr>
          <w:noProof/>
        </w:rPr>
        <w:pict>
          <v:shapetype id="_x0000_t32" coordsize="21600,21600" o:spt="32" o:oned="t" path="m,l21600,21600e" filled="f">
            <v:path arrowok="t" fillok="f" o:connecttype="none"/>
            <o:lock v:ext="edit" shapetype="t"/>
          </v:shapetype>
          <v:shape id="Straight Arrow Connector 16" o:spid="_x0000_s1026" type="#_x0000_t32" style="position:absolute;left:0;text-align:left;margin-left:294.75pt;margin-top:.15pt;width:0;height:182.0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" strokecolor="#c0504d" strokeweight="2pt">
            <v:stroke endarrow="open"/>
            <v:shadow on="t" color="black" opacity="24903f" origin=",.5" offset="0,.55556mm"/>
          </v:shape>
        </w:pict>
      </w:r>
      <w:r>
        <w:rPr>
          <w:noProof/>
          <w:lang w:eastAsia="en-AU"/>
        </w:rPr>
        <w:pict>
          <v:shape id="Chart 1" o:spid="_x0000_i1026" type="#_x0000_t75" style="width:360.75pt;height:216.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">
            <v:imagedata r:id="rId10" o:title=""/>
            <o:lock v:ext="edit" aspectratio="f"/>
          </v:shape>
        </w:pict>
      </w:r>
    </w:p>
    <w:p w:rsidR="00476733" w:rsidRDefault="00476733" w:rsidP="00C455B6">
      <w:pPr>
        <w:tabs>
          <w:tab w:val="left" w:pos="720"/>
          <w:tab w:val="left" w:pos="1440"/>
        </w:tabs>
        <w:ind w:left="1440"/>
      </w:pPr>
    </w:p>
    <w:p w:rsidR="00476733" w:rsidRPr="00C10773" w:rsidRDefault="00476733" w:rsidP="00C455B6">
      <w:pPr>
        <w:tabs>
          <w:tab w:val="left" w:pos="720"/>
          <w:tab w:val="left" w:pos="1440"/>
        </w:tabs>
        <w:ind w:left="1440"/>
      </w:pPr>
      <w:r w:rsidRPr="00C10773">
        <w:t>Cockburn’s minimum payment rate for residential properties is also at the lowest levels except for the Town of East Fremantle, where they only have 282 properties on the lowest minimum payment:</w:t>
      </w:r>
    </w:p>
    <w:p w:rsidR="00476733" w:rsidRDefault="00476733"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C455B6" w:rsidRDefault="00C455B6"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lastRenderedPageBreak/>
        <w:t>Graph 2 – Comparison of minimum payment rates for residential improved properties for 2015/16</w:t>
      </w:r>
    </w:p>
    <w:p w:rsidR="00476733" w:rsidRDefault="00101864" w:rsidP="00C455B6">
      <w:pPr>
        <w:tabs>
          <w:tab w:val="left" w:pos="720"/>
          <w:tab w:val="left" w:pos="1440"/>
        </w:tabs>
        <w:ind w:left="1440"/>
      </w:pPr>
      <w:r>
        <w:rPr>
          <w:noProof/>
          <w:lang w:eastAsia="en-AU"/>
        </w:rPr>
        <w:pict>
          <v:shape id="Chart 5" o:spid="_x0000_i1027" type="#_x0000_t75" style="width:358.5pt;height:201.7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">
            <v:imagedata r:id="rId11" o:title=""/>
            <o:lock v:ext="edit" aspectratio="f"/>
          </v:shape>
        </w:pic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p>
    <w:p w:rsidR="00476733" w:rsidRPr="00C10773" w:rsidRDefault="00476733" w:rsidP="00C455B6">
      <w:pPr>
        <w:tabs>
          <w:tab w:val="left" w:pos="720"/>
          <w:tab w:val="left" w:pos="1440"/>
        </w:tabs>
        <w:ind w:left="1440"/>
      </w:pPr>
      <w:r w:rsidRPr="00C10773">
        <w:t>If you remove the lowering impact of the minimum payment rate from all other residential improved properties Cockburn again has the lowest average rates when compared to other Councils in the comparison group:</w:t>
      </w:r>
    </w:p>
    <w:p w:rsidR="00476733" w:rsidRDefault="00476733"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Graph 3 – Comparison of average rates for residential properties for 2015/16 without the lowering impact of minimum payment rates</w:t>
      </w:r>
    </w:p>
    <w:p w:rsidR="00476733" w:rsidRDefault="00101864" w:rsidP="00C455B6">
      <w:pPr>
        <w:tabs>
          <w:tab w:val="left" w:pos="720"/>
          <w:tab w:val="left" w:pos="1440"/>
        </w:tabs>
        <w:ind w:left="1440"/>
      </w:pPr>
      <w:r>
        <w:rPr>
          <w:noProof/>
          <w:lang w:eastAsia="en-AU"/>
        </w:rPr>
        <w:pict>
          <v:shape id="Chart 3" o:spid="_x0000_i1028" type="#_x0000_t75" style="width:360.75pt;height:216.7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">
            <v:imagedata r:id="rId12" o:title=""/>
            <o:lock v:ext="edit" aspectratio="f"/>
          </v:shape>
        </w:pic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 above Councils were chosen firstly, because they are in the same local grouping (South West Group) and secondly, to compare with other outer metro growth Councils such as Swan, Wanneroo and Armadale, who are all experiencing rapid growth and have a comparable separate rate for residential improved properties.</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Below is a comprehensive table of all metropolitan councils and their proposed rate increases (as indicated at the time of preparing this </w:t>
      </w:r>
      <w:r>
        <w:lastRenderedPageBreak/>
        <w:t>report). The average increase is 3.6% with the median increase at 3% in line with the increase proposed by Cockburn.</w:t>
      </w:r>
    </w:p>
    <w:p w:rsidR="00476733" w:rsidRDefault="00476733" w:rsidP="00C455B6">
      <w:pPr>
        <w:tabs>
          <w:tab w:val="left" w:pos="720"/>
          <w:tab w:val="left" w:pos="1440"/>
        </w:tabs>
        <w:ind w:left="1440"/>
      </w:pPr>
    </w:p>
    <w:p w:rsidR="00476733" w:rsidRPr="00C10773" w:rsidRDefault="00476733" w:rsidP="00C455B6">
      <w:pPr>
        <w:tabs>
          <w:tab w:val="left" w:pos="720"/>
          <w:tab w:val="left" w:pos="1440"/>
        </w:tabs>
        <w:ind w:left="1440"/>
        <w:rPr>
          <w:rFonts w:ascii="Bookman Old Style" w:hAnsi="Bookman Old Style"/>
          <w:i/>
          <w:sz w:val="20"/>
        </w:rPr>
      </w:pPr>
      <w:r w:rsidRPr="00C10773">
        <w:rPr>
          <w:rFonts w:ascii="Bookman Old Style" w:hAnsi="Bookman Old Style"/>
          <w:i/>
          <w:sz w:val="20"/>
        </w:rPr>
        <w:t xml:space="preserve">Table 4 </w:t>
      </w:r>
      <w:proofErr w:type="gramStart"/>
      <w:r w:rsidRPr="00C10773">
        <w:rPr>
          <w:rFonts w:ascii="Bookman Old Style" w:hAnsi="Bookman Old Style"/>
          <w:i/>
          <w:sz w:val="20"/>
        </w:rPr>
        <w:t>-  Council</w:t>
      </w:r>
      <w:proofErr w:type="gramEnd"/>
      <w:r w:rsidRPr="00C10773">
        <w:rPr>
          <w:rFonts w:ascii="Bookman Old Style" w:hAnsi="Bookman Old Style"/>
          <w:i/>
          <w:sz w:val="20"/>
        </w:rPr>
        <w:t xml:space="preserve"> increase in residential rates for 2016/17</w:t>
      </w:r>
    </w:p>
    <w:tbl>
      <w:tblPr>
        <w:tblW w:w="4813" w:type="dxa"/>
        <w:jc w:val="center"/>
        <w:tblInd w:w="152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551"/>
        <w:gridCol w:w="2262"/>
      </w:tblGrid>
      <w:tr w:rsidR="00476733" w:rsidRPr="00C10773" w:rsidTr="00C455B6">
        <w:trPr>
          <w:trHeight w:val="315"/>
          <w:jc w:val="center"/>
        </w:trPr>
        <w:tc>
          <w:tcPr>
            <w:tcW w:w="2551" w:type="dxa"/>
            <w:shd w:val="clear" w:color="auto" w:fill="auto"/>
            <w:noWrap/>
            <w:vAlign w:val="center"/>
            <w:hideMark/>
          </w:tcPr>
          <w:p w:rsidR="00476733" w:rsidRPr="00C10773" w:rsidRDefault="00476733" w:rsidP="00C455B6">
            <w:pPr>
              <w:jc w:val="center"/>
              <w:rPr>
                <w:rFonts w:cs="Arial"/>
                <w:b/>
                <w:bCs/>
                <w:sz w:val="20"/>
                <w:lang w:eastAsia="en-AU"/>
              </w:rPr>
            </w:pPr>
            <w:r w:rsidRPr="00C10773">
              <w:rPr>
                <w:rFonts w:cs="Arial"/>
                <w:b/>
                <w:bCs/>
                <w:sz w:val="20"/>
                <w:lang w:eastAsia="en-AU"/>
              </w:rPr>
              <w:t>Council</w:t>
            </w:r>
          </w:p>
        </w:tc>
        <w:tc>
          <w:tcPr>
            <w:tcW w:w="2262" w:type="dxa"/>
            <w:shd w:val="clear" w:color="auto" w:fill="auto"/>
            <w:noWrap/>
            <w:vAlign w:val="center"/>
            <w:hideMark/>
          </w:tcPr>
          <w:p w:rsidR="00476733" w:rsidRPr="00C10773" w:rsidRDefault="00476733" w:rsidP="00C455B6">
            <w:pPr>
              <w:jc w:val="center"/>
              <w:rPr>
                <w:rFonts w:cs="Arial"/>
                <w:b/>
                <w:bCs/>
                <w:sz w:val="20"/>
                <w:lang w:eastAsia="en-AU"/>
              </w:rPr>
            </w:pPr>
            <w:r w:rsidRPr="00C10773">
              <w:rPr>
                <w:rFonts w:cs="Arial"/>
                <w:b/>
                <w:bCs/>
                <w:sz w:val="20"/>
                <w:lang w:eastAsia="en-AU"/>
              </w:rPr>
              <w:t>Proposed</w:t>
            </w:r>
          </w:p>
        </w:tc>
      </w:tr>
      <w:tr w:rsidR="00476733" w:rsidRPr="00C10773" w:rsidTr="00C455B6">
        <w:trPr>
          <w:trHeight w:val="315"/>
          <w:jc w:val="center"/>
        </w:trPr>
        <w:tc>
          <w:tcPr>
            <w:tcW w:w="2551" w:type="dxa"/>
            <w:tcBorders>
              <w:bottom w:val="double" w:sz="4" w:space="0" w:color="auto"/>
            </w:tcBorders>
            <w:shd w:val="clear" w:color="auto" w:fill="auto"/>
            <w:noWrap/>
            <w:vAlign w:val="bottom"/>
            <w:hideMark/>
          </w:tcPr>
          <w:p w:rsidR="00476733" w:rsidRPr="00C10773" w:rsidRDefault="00476733" w:rsidP="00C455B6">
            <w:pPr>
              <w:jc w:val="center"/>
              <w:rPr>
                <w:rFonts w:cs="Arial"/>
                <w:sz w:val="20"/>
                <w:lang w:eastAsia="en-AU"/>
              </w:rPr>
            </w:pPr>
          </w:p>
        </w:tc>
        <w:tc>
          <w:tcPr>
            <w:tcW w:w="2262" w:type="dxa"/>
            <w:tcBorders>
              <w:bottom w:val="double" w:sz="4" w:space="0" w:color="auto"/>
            </w:tcBorders>
            <w:shd w:val="clear" w:color="auto" w:fill="auto"/>
            <w:noWrap/>
            <w:vAlign w:val="center"/>
            <w:hideMark/>
          </w:tcPr>
          <w:p w:rsidR="00476733" w:rsidRPr="00C10773" w:rsidRDefault="00476733" w:rsidP="00C455B6">
            <w:pPr>
              <w:jc w:val="center"/>
              <w:rPr>
                <w:rFonts w:cs="Arial"/>
                <w:b/>
                <w:bCs/>
                <w:sz w:val="20"/>
                <w:lang w:eastAsia="en-AU"/>
              </w:rPr>
            </w:pPr>
            <w:r w:rsidRPr="00C10773">
              <w:rPr>
                <w:rFonts w:cs="Arial"/>
                <w:b/>
                <w:bCs/>
                <w:sz w:val="20"/>
                <w:lang w:eastAsia="en-AU"/>
              </w:rPr>
              <w:t>Residential Increase</w:t>
            </w:r>
          </w:p>
        </w:tc>
      </w:tr>
      <w:tr w:rsidR="00476733" w:rsidRPr="00C10773" w:rsidTr="00C455B6">
        <w:trPr>
          <w:trHeight w:val="300"/>
          <w:jc w:val="center"/>
        </w:trPr>
        <w:tc>
          <w:tcPr>
            <w:tcW w:w="2551" w:type="dxa"/>
            <w:tcBorders>
              <w:top w:val="double" w:sz="4" w:space="0" w:color="auto"/>
              <w:bottom w:val="dotted" w:sz="4" w:space="0" w:color="auto"/>
            </w:tcBorders>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Armadale</w:t>
            </w:r>
          </w:p>
        </w:tc>
        <w:tc>
          <w:tcPr>
            <w:tcW w:w="2262" w:type="dxa"/>
            <w:tcBorders>
              <w:top w:val="double" w:sz="4" w:space="0" w:color="auto"/>
              <w:bottom w:val="dotted" w:sz="4" w:space="0" w:color="auto"/>
            </w:tcBorders>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tcBorders>
              <w:top w:val="dotted" w:sz="4" w:space="0" w:color="auto"/>
            </w:tcBorders>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Bassendean</w:t>
            </w:r>
          </w:p>
        </w:tc>
        <w:tc>
          <w:tcPr>
            <w:tcW w:w="2262" w:type="dxa"/>
            <w:tcBorders>
              <w:top w:val="dotted" w:sz="4" w:space="0" w:color="auto"/>
            </w:tcBorders>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Bayswater</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Belmont</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5.0%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Cambridge</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Pr>
                <w:rFonts w:cs="Arial"/>
                <w:sz w:val="20"/>
                <w:lang w:eastAsia="en-AU"/>
              </w:rPr>
              <w:t>N/A</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Canning</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Pr>
                <w:rFonts w:cs="Arial"/>
                <w:sz w:val="20"/>
                <w:lang w:eastAsia="en-AU"/>
              </w:rPr>
              <w:t>N/A</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Claremont</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b/>
                <w:sz w:val="20"/>
                <w:lang w:eastAsia="en-AU"/>
              </w:rPr>
            </w:pPr>
            <w:r w:rsidRPr="00C10773">
              <w:rPr>
                <w:rFonts w:cs="Arial"/>
                <w:b/>
                <w:sz w:val="20"/>
                <w:lang w:eastAsia="en-AU"/>
              </w:rPr>
              <w:t>Cockburn</w:t>
            </w:r>
          </w:p>
        </w:tc>
        <w:tc>
          <w:tcPr>
            <w:tcW w:w="2262" w:type="dxa"/>
            <w:shd w:val="clear" w:color="auto" w:fill="auto"/>
            <w:noWrap/>
            <w:vAlign w:val="center"/>
            <w:hideMark/>
          </w:tcPr>
          <w:p w:rsidR="00476733" w:rsidRPr="00C10773" w:rsidRDefault="00476733" w:rsidP="00C455B6">
            <w:pPr>
              <w:jc w:val="center"/>
              <w:rPr>
                <w:rFonts w:cs="Arial"/>
                <w:b/>
                <w:sz w:val="20"/>
                <w:lang w:eastAsia="en-AU"/>
              </w:rPr>
            </w:pPr>
            <w:r w:rsidRPr="00C10773">
              <w:rPr>
                <w:rFonts w:cs="Arial"/>
                <w:b/>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Cottesloe</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East Fremantle</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Fremantle</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Gosnells</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Joondalup</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2.7%</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Kalamunda</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Kwinana</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Melville</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2.5%</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Mosman Park</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Mundaring</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6.0%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Nedlands</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4.5%</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Peppermint Grove</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2.5%</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Perth</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1.6%</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Rockingham</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Stirling</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South Perth</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3.5%</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Subiaco</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Pr>
                <w:rFonts w:cs="Arial"/>
                <w:sz w:val="20"/>
                <w:lang w:eastAsia="en-AU"/>
              </w:rPr>
              <w:t>8.7</w:t>
            </w:r>
            <w:r w:rsidRPr="00C10773">
              <w:rPr>
                <w:rFonts w:cs="Arial"/>
                <w:sz w:val="20"/>
                <w:lang w:eastAsia="en-AU"/>
              </w:rPr>
              <w:t>%</w:t>
            </w:r>
            <w:r>
              <w:rPr>
                <w:rFonts w:cs="Arial"/>
                <w:sz w:val="20"/>
                <w:lang w:eastAsia="en-AU"/>
              </w:rPr>
              <w:t>*</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Swan</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3.3%</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Victoria Park</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6.0%</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Vincent</w:t>
            </w:r>
          </w:p>
        </w:tc>
        <w:tc>
          <w:tcPr>
            <w:tcW w:w="2262"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4.5%</w:t>
            </w:r>
          </w:p>
        </w:tc>
      </w:tr>
      <w:tr w:rsidR="00476733" w:rsidRPr="00C10773" w:rsidTr="00C455B6">
        <w:trPr>
          <w:trHeight w:val="300"/>
          <w:jc w:val="center"/>
        </w:trPr>
        <w:tc>
          <w:tcPr>
            <w:tcW w:w="2551" w:type="dxa"/>
            <w:shd w:val="clear" w:color="auto" w:fill="auto"/>
            <w:noWrap/>
            <w:vAlign w:val="center"/>
          </w:tcPr>
          <w:p w:rsidR="00476733" w:rsidRPr="00C10773" w:rsidRDefault="00476733" w:rsidP="00C455B6">
            <w:pPr>
              <w:jc w:val="center"/>
              <w:rPr>
                <w:rFonts w:cs="Arial"/>
                <w:sz w:val="20"/>
                <w:lang w:eastAsia="en-AU"/>
              </w:rPr>
            </w:pPr>
            <w:r w:rsidRPr="00C10773">
              <w:rPr>
                <w:rFonts w:cs="Arial"/>
                <w:sz w:val="20"/>
                <w:lang w:eastAsia="en-AU"/>
              </w:rPr>
              <w:t>Wanneroo</w:t>
            </w:r>
          </w:p>
        </w:tc>
        <w:tc>
          <w:tcPr>
            <w:tcW w:w="2262" w:type="dxa"/>
            <w:shd w:val="clear" w:color="auto" w:fill="auto"/>
            <w:noWrap/>
            <w:vAlign w:val="center"/>
          </w:tcPr>
          <w:p w:rsidR="00476733" w:rsidRPr="00C10773" w:rsidRDefault="00476733" w:rsidP="00C455B6">
            <w:pPr>
              <w:jc w:val="center"/>
              <w:rPr>
                <w:rFonts w:cs="Arial"/>
                <w:sz w:val="20"/>
                <w:lang w:eastAsia="en-AU"/>
              </w:rPr>
            </w:pPr>
            <w:r w:rsidRPr="00C10773">
              <w:rPr>
                <w:rFonts w:cs="Arial"/>
                <w:sz w:val="20"/>
                <w:lang w:eastAsia="en-AU"/>
              </w:rPr>
              <w:t>3.95%</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Average</w:t>
            </w:r>
          </w:p>
        </w:tc>
        <w:tc>
          <w:tcPr>
            <w:tcW w:w="2262" w:type="dxa"/>
            <w:shd w:val="clear" w:color="auto" w:fill="auto"/>
            <w:noWrap/>
            <w:vAlign w:val="bottom"/>
            <w:hideMark/>
          </w:tcPr>
          <w:p w:rsidR="00476733" w:rsidRPr="00C10773" w:rsidRDefault="00476733" w:rsidP="00C455B6">
            <w:pPr>
              <w:jc w:val="center"/>
              <w:rPr>
                <w:rFonts w:cs="Arial"/>
                <w:sz w:val="20"/>
                <w:lang w:eastAsia="en-AU"/>
              </w:rPr>
            </w:pPr>
            <w:r w:rsidRPr="00C10773">
              <w:rPr>
                <w:rFonts w:cs="Arial"/>
                <w:sz w:val="20"/>
                <w:lang w:eastAsia="en-AU"/>
              </w:rPr>
              <w:t>3.</w:t>
            </w:r>
            <w:r>
              <w:rPr>
                <w:rFonts w:cs="Arial"/>
                <w:sz w:val="20"/>
                <w:lang w:eastAsia="en-AU"/>
              </w:rPr>
              <w:t>65</w:t>
            </w:r>
            <w:r w:rsidRPr="00C10773">
              <w:rPr>
                <w:rFonts w:cs="Arial"/>
                <w:sz w:val="20"/>
                <w:lang w:eastAsia="en-AU"/>
              </w:rPr>
              <w:t>%</w:t>
            </w:r>
          </w:p>
        </w:tc>
      </w:tr>
      <w:tr w:rsidR="00476733" w:rsidRPr="00C10773" w:rsidTr="00C455B6">
        <w:trPr>
          <w:trHeight w:val="300"/>
          <w:jc w:val="center"/>
        </w:trPr>
        <w:tc>
          <w:tcPr>
            <w:tcW w:w="2551" w:type="dxa"/>
            <w:shd w:val="clear" w:color="auto" w:fill="auto"/>
            <w:noWrap/>
            <w:vAlign w:val="center"/>
            <w:hideMark/>
          </w:tcPr>
          <w:p w:rsidR="00476733" w:rsidRPr="00C10773" w:rsidRDefault="00476733" w:rsidP="00C455B6">
            <w:pPr>
              <w:jc w:val="center"/>
              <w:rPr>
                <w:rFonts w:cs="Arial"/>
                <w:sz w:val="20"/>
                <w:lang w:eastAsia="en-AU"/>
              </w:rPr>
            </w:pPr>
            <w:r w:rsidRPr="00C10773">
              <w:rPr>
                <w:rFonts w:cs="Arial"/>
                <w:sz w:val="20"/>
                <w:lang w:eastAsia="en-AU"/>
              </w:rPr>
              <w:t>Median</w:t>
            </w:r>
          </w:p>
        </w:tc>
        <w:tc>
          <w:tcPr>
            <w:tcW w:w="2262" w:type="dxa"/>
            <w:shd w:val="clear" w:color="auto" w:fill="auto"/>
            <w:noWrap/>
            <w:vAlign w:val="bottom"/>
            <w:hideMark/>
          </w:tcPr>
          <w:p w:rsidR="00476733" w:rsidRPr="00C10773" w:rsidRDefault="00476733" w:rsidP="00C455B6">
            <w:pPr>
              <w:jc w:val="center"/>
              <w:rPr>
                <w:rFonts w:cs="Arial"/>
                <w:sz w:val="20"/>
                <w:lang w:eastAsia="en-AU"/>
              </w:rPr>
            </w:pPr>
            <w:r w:rsidRPr="00C10773">
              <w:rPr>
                <w:rFonts w:cs="Arial"/>
                <w:sz w:val="20"/>
                <w:lang w:eastAsia="en-AU"/>
              </w:rPr>
              <w:t>3.0%</w:t>
            </w:r>
          </w:p>
        </w:tc>
      </w:tr>
    </w:tbl>
    <w:p w:rsidR="00476733" w:rsidRPr="000C4FBD" w:rsidRDefault="00476733" w:rsidP="00C455B6">
      <w:pPr>
        <w:tabs>
          <w:tab w:val="left" w:pos="720"/>
          <w:tab w:val="left" w:pos="1440"/>
        </w:tabs>
        <w:ind w:left="1440"/>
        <w:rPr>
          <w:rFonts w:ascii="Bookman Old Style" w:hAnsi="Bookman Old Style"/>
          <w:i/>
          <w:sz w:val="20"/>
        </w:rPr>
      </w:pPr>
      <w:r>
        <w:rPr>
          <w:sz w:val="20"/>
        </w:rPr>
        <w:t>*</w:t>
      </w:r>
      <w:r w:rsidRPr="000C4FBD">
        <w:rPr>
          <w:rFonts w:ascii="Bookman Old Style" w:hAnsi="Bookman Old Style"/>
          <w:i/>
          <w:sz w:val="20"/>
        </w:rPr>
        <w:t xml:space="preserve">The increase for Subiaco </w:t>
      </w:r>
      <w:r>
        <w:rPr>
          <w:rFonts w:ascii="Bookman Old Style" w:hAnsi="Bookman Old Style"/>
          <w:i/>
          <w:sz w:val="20"/>
        </w:rPr>
        <w:t xml:space="preserve">includes an extra 6.2% which </w:t>
      </w:r>
      <w:r w:rsidRPr="000C4FBD">
        <w:rPr>
          <w:rFonts w:ascii="Bookman Old Style" w:hAnsi="Bookman Old Style"/>
          <w:i/>
          <w:sz w:val="20"/>
        </w:rPr>
        <w:t>i</w:t>
      </w:r>
      <w:r>
        <w:rPr>
          <w:rFonts w:ascii="Bookman Old Style" w:hAnsi="Bookman Old Style"/>
          <w:i/>
          <w:sz w:val="20"/>
        </w:rPr>
        <w:t>s</w:t>
      </w:r>
      <w:r w:rsidRPr="000C4FBD">
        <w:rPr>
          <w:rFonts w:ascii="Bookman Old Style" w:hAnsi="Bookman Old Style"/>
          <w:i/>
          <w:sz w:val="20"/>
        </w:rPr>
        <w:t xml:space="preserve"> a reflection of the loss of significant income to the City of Perth as part of the State Government’s </w:t>
      </w:r>
      <w:r>
        <w:rPr>
          <w:rFonts w:ascii="Bookman Old Style" w:hAnsi="Bookman Old Style"/>
          <w:i/>
          <w:sz w:val="20"/>
        </w:rPr>
        <w:t xml:space="preserve">City of </w:t>
      </w:r>
      <w:r w:rsidRPr="000C4FBD">
        <w:rPr>
          <w:rFonts w:ascii="Bookman Old Style" w:hAnsi="Bookman Old Style"/>
          <w:i/>
          <w:sz w:val="20"/>
        </w:rPr>
        <w:t xml:space="preserve">Perth Act. This is the reason why Perth has such a low rate increase. The average excludes Subiaco as it will </w:t>
      </w:r>
      <w:r>
        <w:rPr>
          <w:rFonts w:ascii="Bookman Old Style" w:hAnsi="Bookman Old Style"/>
          <w:i/>
          <w:sz w:val="20"/>
        </w:rPr>
        <w:t xml:space="preserve">be </w:t>
      </w:r>
      <w:r w:rsidRPr="000C4FBD">
        <w:rPr>
          <w:rFonts w:ascii="Bookman Old Style" w:hAnsi="Bookman Old Style"/>
          <w:i/>
          <w:sz w:val="20"/>
        </w:rPr>
        <w:t>to</w:t>
      </w:r>
      <w:r>
        <w:rPr>
          <w:rFonts w:ascii="Bookman Old Style" w:hAnsi="Bookman Old Style"/>
          <w:i/>
          <w:sz w:val="20"/>
        </w:rPr>
        <w:t>o</w:t>
      </w:r>
      <w:r w:rsidRPr="000C4FBD">
        <w:rPr>
          <w:rFonts w:ascii="Bookman Old Style" w:hAnsi="Bookman Old Style"/>
          <w:i/>
          <w:sz w:val="20"/>
        </w:rPr>
        <w:t xml:space="preserve"> large </w:t>
      </w:r>
      <w:r>
        <w:rPr>
          <w:rFonts w:ascii="Bookman Old Style" w:hAnsi="Bookman Old Style"/>
          <w:i/>
          <w:sz w:val="20"/>
        </w:rPr>
        <w:t xml:space="preserve">a </w:t>
      </w:r>
      <w:r w:rsidRPr="000C4FBD">
        <w:rPr>
          <w:rFonts w:ascii="Bookman Old Style" w:hAnsi="Bookman Old Style"/>
          <w:i/>
          <w:sz w:val="20"/>
        </w:rPr>
        <w:t>distortion.</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Overall growth of new properties/improvement to existing properties/vacant land has been budgeted at 2.5%. This translates to approximately 1,000 new dwellings.   The City is also expecting a 2.8% growth in the commercial and industrial rates category in the Phoenix </w:t>
      </w:r>
      <w:r>
        <w:lastRenderedPageBreak/>
        <w:t>and Cockburn Commercial Parks, Jandakot City, Cockburn Central and the AMC precinct. The City has budgeted to receive commensurate interim rates as part of the 2016/17 budget.</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Pool Inspection Fee</w:t>
      </w:r>
    </w:p>
    <w:p w:rsidR="00476733" w:rsidRPr="001F068C" w:rsidRDefault="00476733" w:rsidP="00C455B6">
      <w:pPr>
        <w:tabs>
          <w:tab w:val="left" w:pos="720"/>
          <w:tab w:val="left" w:pos="1440"/>
        </w:tabs>
        <w:ind w:left="1440"/>
      </w:pPr>
    </w:p>
    <w:p w:rsidR="00476733" w:rsidRPr="001F068C" w:rsidRDefault="00476733" w:rsidP="00C455B6">
      <w:pPr>
        <w:tabs>
          <w:tab w:val="left" w:pos="720"/>
          <w:tab w:val="left" w:pos="1440"/>
        </w:tabs>
        <w:ind w:left="1440"/>
      </w:pPr>
      <w:r w:rsidRPr="001F068C">
        <w:t xml:space="preserve">The </w:t>
      </w:r>
      <w:r>
        <w:t>fee</w:t>
      </w:r>
      <w:r w:rsidRPr="001F068C">
        <w:t xml:space="preserve"> </w:t>
      </w:r>
      <w:r>
        <w:t xml:space="preserve">will increase slightly to </w:t>
      </w:r>
      <w:r w:rsidRPr="00813B62">
        <w:t>$36.</w:t>
      </w:r>
      <w:r>
        <w:t>5</w:t>
      </w:r>
      <w:r w:rsidRPr="00813B62">
        <w:t>0</w:t>
      </w:r>
      <w:r w:rsidRPr="001F068C">
        <w:t xml:space="preserve"> </w:t>
      </w:r>
      <w:r>
        <w:t xml:space="preserve">from $36.00 </w:t>
      </w:r>
      <w:r w:rsidRPr="001F068C">
        <w:t xml:space="preserve">per property with a swimming pool.  This </w:t>
      </w:r>
      <w:r>
        <w:t>is in order to ensure that C</w:t>
      </w:r>
      <w:r w:rsidRPr="001F068C">
        <w:t>i</w:t>
      </w:r>
      <w:r>
        <w:t>ty</w:t>
      </w:r>
      <w:r w:rsidRPr="001F068C">
        <w:t xml:space="preserve"> will be able to inspect every swimming pool in the municipality once every four years to comply with the relevant statutory requirement.</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 xml:space="preserve">Port Coogee </w:t>
      </w:r>
      <w:r>
        <w:rPr>
          <w:rFonts w:ascii="Bookman Old Style" w:hAnsi="Bookman Old Style"/>
          <w:i/>
        </w:rPr>
        <w:t xml:space="preserve">Special Maintenance </w:t>
      </w:r>
      <w:r w:rsidRPr="00235906">
        <w:rPr>
          <w:rFonts w:ascii="Bookman Old Style" w:hAnsi="Bookman Old Style"/>
          <w:i/>
        </w:rPr>
        <w:t>Specified Area Rate</w:t>
      </w:r>
    </w:p>
    <w:p w:rsidR="00476733" w:rsidRPr="001F068C" w:rsidRDefault="00476733" w:rsidP="00C455B6">
      <w:pPr>
        <w:tabs>
          <w:tab w:val="left" w:pos="720"/>
          <w:tab w:val="left" w:pos="1440"/>
        </w:tabs>
        <w:ind w:left="1440"/>
      </w:pPr>
    </w:p>
    <w:p w:rsidR="00476733" w:rsidRPr="001F068C" w:rsidRDefault="00476733" w:rsidP="00C455B6">
      <w:pPr>
        <w:tabs>
          <w:tab w:val="left" w:pos="720"/>
          <w:tab w:val="left" w:pos="1440"/>
        </w:tabs>
        <w:ind w:left="1440"/>
      </w:pPr>
      <w:r w:rsidRPr="001F068C">
        <w:t xml:space="preserve">This rate will </w:t>
      </w:r>
      <w:r>
        <w:t>fall from 1.400</w:t>
      </w:r>
      <w:r>
        <w:rPr>
          <w:rFonts w:cs="Arial"/>
        </w:rPr>
        <w:t>¢ to 1.200c</w:t>
      </w:r>
      <w:r>
        <w:t xml:space="preserve"> </w:t>
      </w:r>
      <w:r w:rsidRPr="001F068C">
        <w:t xml:space="preserve">in the dollar of </w:t>
      </w:r>
      <w:proofErr w:type="spellStart"/>
      <w:r w:rsidRPr="001F068C">
        <w:t>GRV</w:t>
      </w:r>
      <w:proofErr w:type="spellEnd"/>
      <w:r w:rsidRPr="001F068C">
        <w:t xml:space="preserve"> value. These monies are being </w:t>
      </w:r>
      <w:r>
        <w:t>reserved</w:t>
      </w:r>
      <w:r w:rsidRPr="001F068C">
        <w:t xml:space="preserve"> so as to </w:t>
      </w:r>
      <w:proofErr w:type="spellStart"/>
      <w:r w:rsidRPr="001F068C">
        <w:t>to</w:t>
      </w:r>
      <w:proofErr w:type="spellEnd"/>
      <w:r w:rsidRPr="001F068C">
        <w:t xml:space="preserve"> ensure that the parks and public areas (including custom street lighting) are maintained in accordance with the higher standards agreed to between the Ci</w:t>
      </w:r>
      <w:r>
        <w:t>ty</w:t>
      </w:r>
      <w:r w:rsidRPr="001F068C">
        <w:t xml:space="preserve"> and the Developer. The additional costs being borne by the developer initially and the landowners ultimately.</w:t>
      </w:r>
      <w:r>
        <w:t xml:space="preserve"> The income from this item is included in the total rates to be raised by the budget. There are sufficient funds to cater for the growth of this expenditure for the next five years at this set rate.</w:t>
      </w:r>
    </w:p>
    <w:p w:rsidR="00476733" w:rsidRPr="001F068C" w:rsidRDefault="00476733" w:rsidP="00C455B6">
      <w:pPr>
        <w:tabs>
          <w:tab w:val="left" w:pos="720"/>
          <w:tab w:val="left" w:pos="1440"/>
        </w:tabs>
        <w:ind w:left="1440"/>
      </w:pPr>
    </w:p>
    <w:p w:rsidR="00476733" w:rsidRPr="00901369" w:rsidRDefault="00476733" w:rsidP="00C455B6">
      <w:pPr>
        <w:tabs>
          <w:tab w:val="left" w:pos="720"/>
          <w:tab w:val="left" w:pos="1440"/>
        </w:tabs>
        <w:ind w:left="1440"/>
        <w:rPr>
          <w:rFonts w:cs="Arial"/>
        </w:rPr>
      </w:pPr>
      <w:r w:rsidRPr="00901369">
        <w:rPr>
          <w:rFonts w:cs="Arial"/>
        </w:rPr>
        <w:t>The City will continue taking over public open space in the Port Coogee area in 2016/17 which will trigger the City drawing on funds in the Reserve to supplement the additional maintenance work noted above.</w:t>
      </w:r>
    </w:p>
    <w:p w:rsidR="00476733" w:rsidRPr="00901369" w:rsidRDefault="00476733" w:rsidP="00C455B6">
      <w:pPr>
        <w:tabs>
          <w:tab w:val="left" w:pos="720"/>
          <w:tab w:val="left" w:pos="1440"/>
        </w:tabs>
        <w:ind w:left="1440"/>
        <w:rPr>
          <w:rFonts w:cs="Arial"/>
        </w:rPr>
      </w:pPr>
    </w:p>
    <w:p w:rsidR="00476733" w:rsidRPr="00C10773" w:rsidRDefault="00476733" w:rsidP="00C455B6">
      <w:pPr>
        <w:tabs>
          <w:tab w:val="left" w:pos="720"/>
          <w:tab w:val="left" w:pos="1440"/>
        </w:tabs>
        <w:ind w:left="1440"/>
        <w:rPr>
          <w:rFonts w:ascii="Bookman Old Style" w:hAnsi="Bookman Old Style"/>
          <w:i/>
        </w:rPr>
      </w:pPr>
      <w:r w:rsidRPr="00C10773">
        <w:rPr>
          <w:rFonts w:ascii="Bookman Old Style" w:hAnsi="Bookman Old Style"/>
          <w:i/>
        </w:rPr>
        <w:t>Port Coogee Waterways Specified Area Rate</w:t>
      </w:r>
    </w:p>
    <w:p w:rsidR="00476733" w:rsidRDefault="00476733" w:rsidP="00C455B6">
      <w:pPr>
        <w:tabs>
          <w:tab w:val="left" w:pos="720"/>
          <w:tab w:val="left" w:pos="1440"/>
        </w:tabs>
        <w:ind w:left="1440"/>
        <w:rPr>
          <w:rFonts w:cs="Arial"/>
        </w:rPr>
      </w:pPr>
    </w:p>
    <w:p w:rsidR="00476733" w:rsidRPr="00901369" w:rsidRDefault="00476733" w:rsidP="00C455B6">
      <w:pPr>
        <w:tabs>
          <w:tab w:val="left" w:pos="720"/>
          <w:tab w:val="left" w:pos="1440"/>
        </w:tabs>
        <w:ind w:left="1440"/>
        <w:rPr>
          <w:rFonts w:cs="Arial"/>
        </w:rPr>
      </w:pPr>
      <w:r w:rsidRPr="00901369">
        <w:rPr>
          <w:rFonts w:cs="Arial"/>
        </w:rPr>
        <w:t xml:space="preserve">This is a new Specified Area Rate for properties that connect with the waterways. The rate will be used to fund maintenance of the waterways and associated infrastructure assets. There are approximately 54 properties impacted by this rate. </w:t>
      </w:r>
    </w:p>
    <w:p w:rsidR="00476733" w:rsidRPr="00901369" w:rsidRDefault="00476733" w:rsidP="00C455B6">
      <w:pPr>
        <w:tabs>
          <w:tab w:val="left" w:pos="720"/>
          <w:tab w:val="left" w:pos="1440"/>
        </w:tabs>
        <w:ind w:left="1440"/>
        <w:rPr>
          <w:rFonts w:cs="Arial"/>
        </w:rPr>
      </w:pPr>
    </w:p>
    <w:p w:rsidR="00476733" w:rsidRPr="00901369" w:rsidRDefault="00476733" w:rsidP="00C455B6">
      <w:pPr>
        <w:tabs>
          <w:tab w:val="left" w:pos="720"/>
          <w:tab w:val="left" w:pos="1440"/>
        </w:tabs>
        <w:ind w:left="1440"/>
        <w:rPr>
          <w:rFonts w:cs="Arial"/>
        </w:rPr>
      </w:pPr>
      <w:r w:rsidRPr="00901369">
        <w:rPr>
          <w:rFonts w:cs="Arial"/>
        </w:rPr>
        <w:t>All Port Coogee properties will receive only one specified area rate either the Port Coogee Special Maintenance Area rate or the Port Coogee Waterways Specified Area Rate.</w:t>
      </w:r>
      <w:r>
        <w:rPr>
          <w:rFonts w:cs="Arial"/>
        </w:rPr>
        <w:t xml:space="preserve"> A map is attached to the Agenda.</w:t>
      </w:r>
    </w:p>
    <w:p w:rsidR="00476733" w:rsidRPr="00901369" w:rsidRDefault="00476733" w:rsidP="00C455B6">
      <w:pPr>
        <w:tabs>
          <w:tab w:val="left" w:pos="720"/>
          <w:tab w:val="left" w:pos="1440"/>
        </w:tabs>
        <w:ind w:left="1440"/>
        <w:rPr>
          <w:rFonts w:cs="Arial"/>
          <w:i/>
        </w:rPr>
      </w:pPr>
    </w:p>
    <w:p w:rsidR="00476733" w:rsidRPr="00C10773" w:rsidRDefault="00476733" w:rsidP="00C455B6">
      <w:pPr>
        <w:tabs>
          <w:tab w:val="left" w:pos="720"/>
          <w:tab w:val="left" w:pos="1440"/>
        </w:tabs>
        <w:ind w:left="1440"/>
        <w:rPr>
          <w:rFonts w:ascii="Bookman Old Style" w:hAnsi="Bookman Old Style"/>
          <w:i/>
        </w:rPr>
      </w:pPr>
      <w:r w:rsidRPr="00C10773">
        <w:rPr>
          <w:rFonts w:ascii="Bookman Old Style" w:hAnsi="Bookman Old Style"/>
          <w:i/>
        </w:rPr>
        <w:t>Cockburn Coast Specified Area Rate</w:t>
      </w:r>
    </w:p>
    <w:p w:rsidR="00476733" w:rsidRPr="001F068C" w:rsidRDefault="00476733" w:rsidP="00C455B6">
      <w:pPr>
        <w:tabs>
          <w:tab w:val="left" w:pos="720"/>
          <w:tab w:val="left" w:pos="1440"/>
        </w:tabs>
        <w:ind w:left="1440"/>
      </w:pPr>
    </w:p>
    <w:p w:rsidR="00476733" w:rsidRPr="001F068C" w:rsidRDefault="00476733" w:rsidP="00C455B6">
      <w:pPr>
        <w:tabs>
          <w:tab w:val="left" w:pos="720"/>
          <w:tab w:val="left" w:pos="1440"/>
        </w:tabs>
        <w:ind w:left="1440"/>
      </w:pPr>
      <w:r w:rsidRPr="001F068C">
        <w:t xml:space="preserve">This rate will </w:t>
      </w:r>
      <w:r>
        <w:t>fall from 1.400</w:t>
      </w:r>
      <w:r>
        <w:rPr>
          <w:rFonts w:cs="Arial"/>
        </w:rPr>
        <w:t>¢</w:t>
      </w:r>
      <w:r>
        <w:t xml:space="preserve"> to 1.200c </w:t>
      </w:r>
      <w:r w:rsidRPr="001F068C">
        <w:t xml:space="preserve">in the dollar of </w:t>
      </w:r>
      <w:proofErr w:type="spellStart"/>
      <w:r w:rsidRPr="001F068C">
        <w:t>GRV</w:t>
      </w:r>
      <w:proofErr w:type="spellEnd"/>
      <w:r w:rsidRPr="001F068C">
        <w:t xml:space="preserve"> value</w:t>
      </w:r>
      <w:r>
        <w:t xml:space="preserve"> for residential improved only</w:t>
      </w:r>
      <w:r w:rsidRPr="001F068C">
        <w:t xml:space="preserve">. These monies are being </w:t>
      </w:r>
      <w:r>
        <w:t>reserved</w:t>
      </w:r>
      <w:r w:rsidRPr="001F068C">
        <w:t xml:space="preserve"> so as to ensure that the parks and public areas (including custom street lighting) are maintained in accordance with the higher standards agreed to between the Ci</w:t>
      </w:r>
      <w:r>
        <w:t>ty</w:t>
      </w:r>
      <w:r w:rsidRPr="001F068C">
        <w:t xml:space="preserve"> and the Developer. The additional costs being borne by the developer initially and the landowners ultimately.</w:t>
      </w:r>
      <w:r>
        <w:t xml:space="preserve"> The income from this item is included in the total rates to be raised by the budget.</w:t>
      </w:r>
    </w:p>
    <w:p w:rsidR="00476733" w:rsidRPr="001F068C" w:rsidRDefault="00476733" w:rsidP="00C455B6">
      <w:pPr>
        <w:tabs>
          <w:tab w:val="left" w:pos="720"/>
          <w:tab w:val="left" w:pos="1440"/>
        </w:tabs>
        <w:ind w:left="1440"/>
      </w:pPr>
    </w:p>
    <w:p w:rsidR="00476733" w:rsidRDefault="00476733" w:rsidP="00C455B6">
      <w:pPr>
        <w:tabs>
          <w:tab w:val="left" w:pos="720"/>
          <w:tab w:val="left" w:pos="1440"/>
        </w:tabs>
        <w:ind w:left="1440"/>
      </w:pPr>
      <w:r w:rsidRPr="001F068C">
        <w:lastRenderedPageBreak/>
        <w:t xml:space="preserve">The City will </w:t>
      </w:r>
      <w:r>
        <w:t xml:space="preserve">see the first of the land holdings sub-divided into residential improved lots in 2016/17. </w:t>
      </w:r>
      <w:r w:rsidRPr="005309E7">
        <w:t>A map of the area is attached to the Agenda.</w:t>
      </w:r>
    </w:p>
    <w:p w:rsidR="00476733" w:rsidRDefault="00476733" w:rsidP="00C455B6">
      <w:pPr>
        <w:tabs>
          <w:tab w:val="left" w:pos="720"/>
          <w:tab w:val="left" w:pos="1440"/>
        </w:tabs>
        <w:ind w:left="1440"/>
        <w:rPr>
          <w:rFonts w:ascii="Bookman Old Style" w:hAnsi="Bookman Old Style"/>
          <w:i/>
        </w:rPr>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Emergency Services Levy</w:t>
      </w:r>
    </w:p>
    <w:p w:rsidR="00476733" w:rsidRPr="001F068C" w:rsidRDefault="00476733" w:rsidP="00C455B6">
      <w:pPr>
        <w:tabs>
          <w:tab w:val="left" w:pos="720"/>
          <w:tab w:val="left" w:pos="1440"/>
        </w:tabs>
        <w:ind w:left="1440"/>
      </w:pPr>
    </w:p>
    <w:p w:rsidR="00476733" w:rsidRDefault="00476733" w:rsidP="00C455B6">
      <w:pPr>
        <w:tabs>
          <w:tab w:val="left" w:pos="720"/>
          <w:tab w:val="left" w:pos="1440"/>
        </w:tabs>
        <w:ind w:left="1440"/>
      </w:pPr>
      <w:r w:rsidRPr="001F068C">
        <w:t xml:space="preserve">Although not </w:t>
      </w:r>
      <w:r>
        <w:t>impo</w:t>
      </w:r>
      <w:r w:rsidRPr="001F068C">
        <w:t>sed by the C</w:t>
      </w:r>
      <w:r>
        <w:t>ity</w:t>
      </w:r>
      <w:r w:rsidRPr="001F068C">
        <w:t>, the levy is collected by the Ci</w:t>
      </w:r>
      <w:r>
        <w:t>ty</w:t>
      </w:r>
      <w:r w:rsidRPr="001F068C">
        <w:t xml:space="preserve"> under direct instruction from the State Government and passed onto the </w:t>
      </w:r>
      <w:r>
        <w:t xml:space="preserve">Department of Fire and Emergency Services DFES (formerly the </w:t>
      </w:r>
      <w:r w:rsidRPr="001F068C">
        <w:t>Fire and Emergency Services Authority</w:t>
      </w:r>
      <w:r>
        <w:t>)</w:t>
      </w:r>
      <w:r w:rsidRPr="001F068C">
        <w:t>.  The increase for Cit</w:t>
      </w:r>
      <w:r>
        <w:t>y of Cockburn ratepayers is 4.2</w:t>
      </w:r>
      <w:r w:rsidRPr="00802C6A">
        <w:t>%.</w:t>
      </w:r>
      <w:r>
        <w:t xml:space="preserve">  This will be approximately $60 for the average residential improved property. The City collects over $14m from this levy on behalf of DFES.</w:t>
      </w:r>
    </w:p>
    <w:p w:rsidR="00476733" w:rsidRPr="001F068C"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Fees and Charges</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The City has budgeted to receive </w:t>
      </w:r>
      <w:r w:rsidRPr="00814DEB">
        <w:t>$</w:t>
      </w:r>
      <w:r>
        <w:t>24.36</w:t>
      </w:r>
      <w:r w:rsidRPr="006E163C">
        <w:t>m</w:t>
      </w:r>
      <w:r>
        <w:t xml:space="preserve"> in Fees and Charges in 2016/17. Although this category of income covers 170 services provided by City, there are five fee types that combine to make up </w:t>
      </w:r>
      <w:r w:rsidRPr="00FC2D67">
        <w:t>$</w:t>
      </w:r>
      <w:r>
        <w:t>14.33</w:t>
      </w:r>
      <w:r w:rsidRPr="00FC2D67">
        <w:t xml:space="preserve">m or </w:t>
      </w:r>
      <w:r>
        <w:t>59</w:t>
      </w:r>
      <w:r w:rsidRPr="00FC2D67">
        <w:t>%</w:t>
      </w:r>
      <w:r>
        <w:t xml:space="preserve"> of the total fees and charges. The fees consist of Waste fees (tipping, sale of recycled metals and materials and sale of gas) related to the Henderson Waste and Recovery Park, waste collection for commercial/industrial properties, fees associated with the Planning and Building (Statutory) approvals and finally, the lease revenue from property owned by the City.</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The Gate Fee for the Henderson Landfill facility will not increase at 1 July 2016 as a result of intense competition in the market place. As a result of the State Government increasing the Landfill Levy from $55 to $60 per tonne from 1 July, the City will be forced to absorb this impost in order to retain market share. The cost of this impost is $375,000.  </w:t>
      </w:r>
    </w:p>
    <w:p w:rsidR="00476733" w:rsidRDefault="00476733" w:rsidP="00C455B6">
      <w:pPr>
        <w:ind w:left="1440"/>
        <w:rPr>
          <w:rFonts w:cs="Arial"/>
        </w:rPr>
      </w:pPr>
    </w:p>
    <w:p w:rsidR="00476733" w:rsidRPr="00D71DF0" w:rsidRDefault="00476733" w:rsidP="00C455B6">
      <w:pPr>
        <w:tabs>
          <w:tab w:val="left" w:pos="720"/>
          <w:tab w:val="left" w:pos="1440"/>
        </w:tabs>
        <w:ind w:left="1440"/>
      </w:pPr>
      <w:r w:rsidRPr="00D71DF0">
        <w:t xml:space="preserve">Statutory fees collected for Planning and Building will remain similar to 2015/16. </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Rental income will be over $2.5m which includes income from a number of Council owned properties including Cockburn Health and Community Centre, Coogee Beach café, Coogee Beach Caravan Park, Naval Base Shacks, Youth Centre commercial leases and a range of halls. </w:t>
      </w:r>
    </w:p>
    <w:p w:rsidR="00476733" w:rsidRDefault="00476733" w:rsidP="00C455B6">
      <w:pPr>
        <w:tabs>
          <w:tab w:val="left" w:pos="720"/>
          <w:tab w:val="left" w:pos="1440"/>
        </w:tabs>
        <w:ind w:left="1440"/>
      </w:pPr>
    </w:p>
    <w:p w:rsidR="00476733" w:rsidRDefault="00476733" w:rsidP="00C455B6">
      <w:pPr>
        <w:ind w:left="1440"/>
      </w:pPr>
      <w:r>
        <w:t>The final income items are fees for the South Lake Leisure Centre which has been budgeted to operate till the opening of the Cockburn ARC in late 2016/17. A budget has also been established for income from Cockburn ARC.</w:t>
      </w:r>
    </w:p>
    <w:p w:rsidR="00476733" w:rsidRDefault="00476733" w:rsidP="00C455B6">
      <w:pPr>
        <w:tabs>
          <w:tab w:val="left" w:pos="720"/>
          <w:tab w:val="left" w:pos="1440"/>
        </w:tabs>
        <w:ind w:left="1440"/>
      </w:pPr>
    </w:p>
    <w:p w:rsidR="00476733" w:rsidRDefault="00476733" w:rsidP="00C455B6">
      <w:pPr>
        <w:ind w:left="1440"/>
      </w:pPr>
      <w:r>
        <w:t xml:space="preserve">All other fees will rise in a range from CPI to % in order to cover the cost of the service/s provided by the City.  </w:t>
      </w:r>
    </w:p>
    <w:p w:rsidR="00476733" w:rsidRDefault="00476733" w:rsidP="00C455B6">
      <w:pPr>
        <w:tabs>
          <w:tab w:val="left" w:pos="720"/>
          <w:tab w:val="left" w:pos="1440"/>
        </w:tabs>
        <w:ind w:left="1440"/>
      </w:pPr>
    </w:p>
    <w:p w:rsidR="00C455B6" w:rsidRDefault="00C455B6"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lastRenderedPageBreak/>
        <w:t>Service Charges</w:t>
      </w:r>
    </w:p>
    <w:p w:rsidR="00476733" w:rsidRPr="007D78A9"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This income is for the repayment of the Underground Power projects completed in Hamilton Hill. </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Operating Grants and Subsidies</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This income source is provided by the State and Federal Governments. The income is generally recurrent and rises by CPI or a similar agreed factor.  For the 2016/17 Budget, the Federal Government has frozen the level of the Financial Assistance Grant (General and Untied Road grant) at 2013/14 base with no indexation for population growth until 2018/19. FAG grants appear higher in 2016/17 as a result of the Commonwealth part paying the 2015/16 grant in 2014/15.</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Apart from the untied Federal Assistance Grant noted below, the other grants have been provided by the State and Federal Governments for the delivery of specific community programs.</w:t>
      </w:r>
    </w:p>
    <w:p w:rsidR="00476733" w:rsidRDefault="00476733"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Pr>
          <w:rFonts w:ascii="Bookman Old Style" w:hAnsi="Bookman Old Style"/>
          <w:i/>
          <w:sz w:val="20"/>
        </w:rPr>
        <w:t>Table 5</w:t>
      </w:r>
      <w:r w:rsidRPr="00D90573">
        <w:rPr>
          <w:rFonts w:ascii="Bookman Old Style" w:hAnsi="Bookman Old Style"/>
          <w:i/>
          <w:sz w:val="20"/>
        </w:rPr>
        <w:t xml:space="preserve"> – Operating grants for 2016/17</w:t>
      </w:r>
    </w:p>
    <w:tbl>
      <w:tblPr>
        <w:tblW w:w="0" w:type="auto"/>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5724"/>
        <w:gridCol w:w="1971"/>
      </w:tblGrid>
      <w:tr w:rsidR="00476733" w:rsidRPr="00EE456F" w:rsidTr="00C455B6">
        <w:trPr>
          <w:tblHeader/>
        </w:trPr>
        <w:tc>
          <w:tcPr>
            <w:tcW w:w="5760" w:type="dxa"/>
            <w:tcBorders>
              <w:top w:val="double" w:sz="4" w:space="0" w:color="auto"/>
              <w:bottom w:val="double" w:sz="4" w:space="0" w:color="auto"/>
            </w:tcBorders>
            <w:shd w:val="clear" w:color="auto" w:fill="auto"/>
            <w:vAlign w:val="center"/>
          </w:tcPr>
          <w:p w:rsidR="00476733" w:rsidRPr="00EE456F" w:rsidRDefault="00476733" w:rsidP="00C455B6">
            <w:pPr>
              <w:tabs>
                <w:tab w:val="left" w:pos="720"/>
                <w:tab w:val="left" w:pos="1440"/>
              </w:tabs>
              <w:jc w:val="center"/>
              <w:rPr>
                <w:b/>
                <w:sz w:val="20"/>
              </w:rPr>
            </w:pPr>
            <w:r w:rsidRPr="00EE456F">
              <w:rPr>
                <w:b/>
                <w:sz w:val="20"/>
              </w:rPr>
              <w:t>Grant</w:t>
            </w:r>
          </w:p>
        </w:tc>
        <w:tc>
          <w:tcPr>
            <w:tcW w:w="1979" w:type="dxa"/>
            <w:tcBorders>
              <w:top w:val="double" w:sz="4" w:space="0" w:color="auto"/>
              <w:bottom w:val="double" w:sz="4" w:space="0" w:color="auto"/>
            </w:tcBorders>
            <w:shd w:val="clear" w:color="auto" w:fill="auto"/>
            <w:vAlign w:val="center"/>
          </w:tcPr>
          <w:p w:rsidR="00476733" w:rsidRPr="00EE456F" w:rsidRDefault="00476733" w:rsidP="00C455B6">
            <w:pPr>
              <w:tabs>
                <w:tab w:val="left" w:pos="720"/>
                <w:tab w:val="left" w:pos="1440"/>
              </w:tabs>
              <w:jc w:val="center"/>
              <w:rPr>
                <w:b/>
                <w:sz w:val="20"/>
              </w:rPr>
            </w:pPr>
            <w:r w:rsidRPr="00EE456F">
              <w:rPr>
                <w:b/>
                <w:sz w:val="20"/>
              </w:rPr>
              <w:t>Amount</w:t>
            </w:r>
          </w:p>
          <w:p w:rsidR="00476733" w:rsidRPr="00EE456F" w:rsidRDefault="00476733" w:rsidP="00C455B6">
            <w:pPr>
              <w:tabs>
                <w:tab w:val="left" w:pos="720"/>
                <w:tab w:val="left" w:pos="1440"/>
              </w:tabs>
              <w:jc w:val="center"/>
              <w:rPr>
                <w:b/>
                <w:sz w:val="20"/>
              </w:rPr>
            </w:pPr>
            <w:r w:rsidRPr="00EE456F">
              <w:rPr>
                <w:b/>
                <w:sz w:val="20"/>
              </w:rPr>
              <w:t>$</w:t>
            </w:r>
          </w:p>
        </w:tc>
      </w:tr>
      <w:tr w:rsidR="00476733" w:rsidRPr="00EE456F" w:rsidTr="00C455B6">
        <w:trPr>
          <w:trHeight w:hRule="exact" w:val="288"/>
        </w:trPr>
        <w:tc>
          <w:tcPr>
            <w:tcW w:w="5760" w:type="dxa"/>
            <w:tcBorders>
              <w:top w:val="double" w:sz="4" w:space="0" w:color="auto"/>
            </w:tcBorders>
            <w:shd w:val="clear" w:color="auto" w:fill="auto"/>
          </w:tcPr>
          <w:p w:rsidR="00476733" w:rsidRPr="00EE456F" w:rsidRDefault="00476733" w:rsidP="00C455B6">
            <w:pPr>
              <w:tabs>
                <w:tab w:val="left" w:pos="720"/>
                <w:tab w:val="left" w:pos="1440"/>
              </w:tabs>
              <w:rPr>
                <w:sz w:val="20"/>
              </w:rPr>
            </w:pPr>
            <w:r w:rsidRPr="00EE456F">
              <w:rPr>
                <w:rFonts w:cs="Arial"/>
                <w:sz w:val="20"/>
              </w:rPr>
              <w:t>Child Care and Children (Fed</w:t>
            </w:r>
            <w:r>
              <w:rPr>
                <w:rFonts w:cs="Arial"/>
                <w:sz w:val="20"/>
              </w:rPr>
              <w:t>eral</w:t>
            </w:r>
            <w:r w:rsidRPr="00EE456F">
              <w:rPr>
                <w:rFonts w:cs="Arial"/>
                <w:sz w:val="20"/>
              </w:rPr>
              <w:t xml:space="preserve"> Gov</w:t>
            </w:r>
            <w:r>
              <w:rPr>
                <w:rFonts w:cs="Arial"/>
                <w:sz w:val="20"/>
              </w:rPr>
              <w:t>ernmen</w:t>
            </w:r>
            <w:r w:rsidRPr="00EE456F">
              <w:rPr>
                <w:rFonts w:cs="Arial"/>
                <w:sz w:val="20"/>
              </w:rPr>
              <w:t>t)</w:t>
            </w:r>
          </w:p>
        </w:tc>
        <w:tc>
          <w:tcPr>
            <w:tcW w:w="1979" w:type="dxa"/>
            <w:tcBorders>
              <w:top w:val="double" w:sz="4" w:space="0" w:color="auto"/>
            </w:tcBorders>
            <w:shd w:val="clear" w:color="auto" w:fill="auto"/>
          </w:tcPr>
          <w:p w:rsidR="00476733" w:rsidRPr="00EE456F" w:rsidRDefault="00476733" w:rsidP="00C455B6">
            <w:pPr>
              <w:tabs>
                <w:tab w:val="left" w:pos="720"/>
                <w:tab w:val="left" w:pos="1440"/>
              </w:tabs>
              <w:jc w:val="center"/>
              <w:rPr>
                <w:sz w:val="20"/>
              </w:rPr>
            </w:pPr>
            <w:r>
              <w:rPr>
                <w:sz w:val="20"/>
              </w:rPr>
              <w:t>$1.90m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sz w:val="20"/>
              </w:rPr>
            </w:pPr>
            <w:r w:rsidRPr="00EE456F">
              <w:rPr>
                <w:rFonts w:cs="Arial"/>
                <w:sz w:val="20"/>
              </w:rPr>
              <w:t>Financial Assistance (Untied from Fed</w:t>
            </w:r>
            <w:r>
              <w:rPr>
                <w:rFonts w:cs="Arial"/>
                <w:sz w:val="20"/>
              </w:rPr>
              <w:t>eral</w:t>
            </w:r>
            <w:r w:rsidRPr="00EE456F">
              <w:rPr>
                <w:rFonts w:cs="Arial"/>
                <w:sz w:val="20"/>
              </w:rPr>
              <w:t xml:space="preserve"> Gov</w:t>
            </w:r>
            <w:r>
              <w:rPr>
                <w:rFonts w:cs="Arial"/>
                <w:sz w:val="20"/>
              </w:rPr>
              <w:t>ernmen</w:t>
            </w:r>
            <w:r w:rsidRPr="00EE456F">
              <w:rPr>
                <w:rFonts w:cs="Arial"/>
                <w:sz w:val="20"/>
              </w:rPr>
              <w:t>t)</w:t>
            </w:r>
          </w:p>
        </w:tc>
        <w:tc>
          <w:tcPr>
            <w:tcW w:w="1979" w:type="dxa"/>
            <w:shd w:val="clear" w:color="auto" w:fill="auto"/>
          </w:tcPr>
          <w:p w:rsidR="00476733" w:rsidRDefault="00476733" w:rsidP="00C455B6">
            <w:pPr>
              <w:jc w:val="center"/>
            </w:pPr>
            <w:r w:rsidRPr="004167F3">
              <w:rPr>
                <w:sz w:val="20"/>
              </w:rPr>
              <w:t>$</w:t>
            </w:r>
            <w:r>
              <w:rPr>
                <w:sz w:val="20"/>
              </w:rPr>
              <w:t>2.20</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sz w:val="20"/>
              </w:rPr>
            </w:pPr>
            <w:r w:rsidRPr="00EE456F">
              <w:rPr>
                <w:rFonts w:cs="Arial"/>
                <w:sz w:val="20"/>
              </w:rPr>
              <w:t>Financial Assistance (Roads from Fed</w:t>
            </w:r>
            <w:r>
              <w:rPr>
                <w:rFonts w:cs="Arial"/>
                <w:sz w:val="20"/>
              </w:rPr>
              <w:t>eral</w:t>
            </w:r>
            <w:r w:rsidRPr="00EE456F">
              <w:rPr>
                <w:rFonts w:cs="Arial"/>
                <w:sz w:val="20"/>
              </w:rPr>
              <w:t xml:space="preserve"> Gov</w:t>
            </w:r>
            <w:r>
              <w:rPr>
                <w:rFonts w:cs="Arial"/>
                <w:sz w:val="20"/>
              </w:rPr>
              <w:t>ernmen</w:t>
            </w:r>
            <w:r w:rsidRPr="00EE456F">
              <w:rPr>
                <w:rFonts w:cs="Arial"/>
                <w:sz w:val="20"/>
              </w:rPr>
              <w:t>t)</w:t>
            </w:r>
          </w:p>
        </w:tc>
        <w:tc>
          <w:tcPr>
            <w:tcW w:w="1979" w:type="dxa"/>
            <w:shd w:val="clear" w:color="auto" w:fill="auto"/>
          </w:tcPr>
          <w:p w:rsidR="00476733" w:rsidRDefault="00476733" w:rsidP="00C455B6">
            <w:pPr>
              <w:jc w:val="center"/>
            </w:pPr>
            <w:r w:rsidRPr="004167F3">
              <w:rPr>
                <w:sz w:val="20"/>
              </w:rPr>
              <w:t>$</w:t>
            </w:r>
            <w:r>
              <w:rPr>
                <w:sz w:val="20"/>
              </w:rPr>
              <w:t>1.50</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sz w:val="20"/>
              </w:rPr>
            </w:pPr>
            <w:r w:rsidRPr="00EE456F">
              <w:rPr>
                <w:rFonts w:cs="Arial"/>
                <w:sz w:val="20"/>
              </w:rPr>
              <w:t xml:space="preserve">Aged Services - </w:t>
            </w:r>
            <w:proofErr w:type="spellStart"/>
            <w:r w:rsidRPr="00EE456F">
              <w:rPr>
                <w:rFonts w:cs="Arial"/>
                <w:sz w:val="20"/>
              </w:rPr>
              <w:t>HACC</w:t>
            </w:r>
            <w:proofErr w:type="spellEnd"/>
          </w:p>
        </w:tc>
        <w:tc>
          <w:tcPr>
            <w:tcW w:w="1979" w:type="dxa"/>
            <w:shd w:val="clear" w:color="auto" w:fill="auto"/>
          </w:tcPr>
          <w:p w:rsidR="00476733" w:rsidRDefault="00476733" w:rsidP="00C455B6">
            <w:pPr>
              <w:jc w:val="center"/>
            </w:pPr>
            <w:r w:rsidRPr="004167F3">
              <w:rPr>
                <w:sz w:val="20"/>
              </w:rPr>
              <w:t>$</w:t>
            </w:r>
            <w:r>
              <w:rPr>
                <w:sz w:val="20"/>
              </w:rPr>
              <w:t>1.99</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rFonts w:cs="Arial"/>
                <w:sz w:val="20"/>
              </w:rPr>
            </w:pPr>
            <w:r w:rsidRPr="00EE456F">
              <w:rPr>
                <w:rFonts w:cs="Arial"/>
                <w:sz w:val="20"/>
              </w:rPr>
              <w:t xml:space="preserve">Aged Services </w:t>
            </w:r>
            <w:r>
              <w:rPr>
                <w:rFonts w:cs="Arial"/>
                <w:sz w:val="20"/>
              </w:rPr>
              <w:t>–</w:t>
            </w:r>
            <w:r w:rsidRPr="00EE456F">
              <w:rPr>
                <w:rFonts w:cs="Arial"/>
                <w:sz w:val="20"/>
              </w:rPr>
              <w:t xml:space="preserve"> </w:t>
            </w:r>
            <w:proofErr w:type="spellStart"/>
            <w:r w:rsidRPr="00EE456F">
              <w:rPr>
                <w:rFonts w:cs="Arial"/>
                <w:sz w:val="20"/>
              </w:rPr>
              <w:t>HAC</w:t>
            </w:r>
            <w:r>
              <w:rPr>
                <w:rFonts w:cs="Arial"/>
                <w:sz w:val="20"/>
              </w:rPr>
              <w:t>P</w:t>
            </w:r>
            <w:proofErr w:type="spellEnd"/>
          </w:p>
        </w:tc>
        <w:tc>
          <w:tcPr>
            <w:tcW w:w="1979" w:type="dxa"/>
            <w:shd w:val="clear" w:color="auto" w:fill="auto"/>
          </w:tcPr>
          <w:p w:rsidR="00476733" w:rsidRDefault="00476733" w:rsidP="00C455B6">
            <w:pPr>
              <w:jc w:val="center"/>
            </w:pPr>
            <w:r w:rsidRPr="004167F3">
              <w:rPr>
                <w:sz w:val="20"/>
              </w:rPr>
              <w:t>$</w:t>
            </w:r>
            <w:r>
              <w:rPr>
                <w:sz w:val="20"/>
              </w:rPr>
              <w:t>0.44</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sz w:val="20"/>
              </w:rPr>
            </w:pPr>
            <w:r w:rsidRPr="00EE456F">
              <w:rPr>
                <w:rFonts w:cs="Arial"/>
                <w:sz w:val="20"/>
              </w:rPr>
              <w:t>Youth Services</w:t>
            </w:r>
            <w:r>
              <w:rPr>
                <w:rFonts w:cs="Arial"/>
                <w:sz w:val="20"/>
              </w:rPr>
              <w:t xml:space="preserve"> (2 programs)</w:t>
            </w:r>
          </w:p>
        </w:tc>
        <w:tc>
          <w:tcPr>
            <w:tcW w:w="1979" w:type="dxa"/>
            <w:shd w:val="clear" w:color="auto" w:fill="auto"/>
          </w:tcPr>
          <w:p w:rsidR="00476733" w:rsidRDefault="00476733" w:rsidP="00C455B6">
            <w:pPr>
              <w:jc w:val="center"/>
            </w:pPr>
            <w:r w:rsidRPr="004167F3">
              <w:rPr>
                <w:sz w:val="20"/>
              </w:rPr>
              <w:t>$</w:t>
            </w:r>
            <w:r>
              <w:rPr>
                <w:sz w:val="20"/>
              </w:rPr>
              <w:t>0.47</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sz w:val="20"/>
              </w:rPr>
            </w:pPr>
            <w:r w:rsidRPr="00EE456F">
              <w:rPr>
                <w:rFonts w:cs="Arial"/>
                <w:sz w:val="20"/>
              </w:rPr>
              <w:t>Family Services</w:t>
            </w:r>
            <w:r>
              <w:rPr>
                <w:rFonts w:cs="Arial"/>
                <w:sz w:val="20"/>
              </w:rPr>
              <w:t xml:space="preserve"> (4 programs)</w:t>
            </w:r>
          </w:p>
        </w:tc>
        <w:tc>
          <w:tcPr>
            <w:tcW w:w="1979" w:type="dxa"/>
            <w:shd w:val="clear" w:color="auto" w:fill="auto"/>
          </w:tcPr>
          <w:p w:rsidR="00476733" w:rsidRDefault="00476733" w:rsidP="00C455B6">
            <w:pPr>
              <w:jc w:val="center"/>
            </w:pPr>
            <w:r w:rsidRPr="004167F3">
              <w:rPr>
                <w:sz w:val="20"/>
              </w:rPr>
              <w:t>$</w:t>
            </w:r>
            <w:r>
              <w:rPr>
                <w:sz w:val="20"/>
              </w:rPr>
              <w:t>0.44</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rFonts w:cs="Arial"/>
                <w:sz w:val="20"/>
              </w:rPr>
            </w:pPr>
            <w:r>
              <w:rPr>
                <w:rFonts w:cs="Arial"/>
                <w:sz w:val="20"/>
              </w:rPr>
              <w:t>D</w:t>
            </w:r>
            <w:r w:rsidRPr="00EE456F">
              <w:rPr>
                <w:rFonts w:cs="Arial"/>
                <w:sz w:val="20"/>
              </w:rPr>
              <w:t>FES Operational Grant</w:t>
            </w:r>
          </w:p>
        </w:tc>
        <w:tc>
          <w:tcPr>
            <w:tcW w:w="1979" w:type="dxa"/>
            <w:shd w:val="clear" w:color="auto" w:fill="auto"/>
          </w:tcPr>
          <w:p w:rsidR="00476733" w:rsidRDefault="00476733" w:rsidP="00C455B6">
            <w:pPr>
              <w:jc w:val="center"/>
            </w:pPr>
            <w:r w:rsidRPr="004167F3">
              <w:rPr>
                <w:sz w:val="20"/>
              </w:rPr>
              <w:t>$</w:t>
            </w:r>
            <w:r>
              <w:rPr>
                <w:sz w:val="20"/>
              </w:rPr>
              <w:t>0.23</w:t>
            </w:r>
            <w:r w:rsidRPr="004167F3">
              <w:rPr>
                <w:sz w:val="20"/>
              </w:rPr>
              <w:t>m</w:t>
            </w:r>
          </w:p>
        </w:tc>
      </w:tr>
      <w:tr w:rsidR="00476733" w:rsidRPr="00EE456F" w:rsidTr="00C455B6">
        <w:trPr>
          <w:trHeight w:hRule="exact" w:val="288"/>
        </w:trPr>
        <w:tc>
          <w:tcPr>
            <w:tcW w:w="5760" w:type="dxa"/>
            <w:shd w:val="clear" w:color="auto" w:fill="auto"/>
          </w:tcPr>
          <w:p w:rsidR="00476733" w:rsidRPr="00EE456F" w:rsidRDefault="00476733" w:rsidP="00C455B6">
            <w:pPr>
              <w:tabs>
                <w:tab w:val="left" w:pos="720"/>
                <w:tab w:val="left" w:pos="1440"/>
              </w:tabs>
              <w:rPr>
                <w:rFonts w:cs="Arial"/>
                <w:sz w:val="20"/>
              </w:rPr>
            </w:pPr>
            <w:r w:rsidRPr="00EE456F">
              <w:rPr>
                <w:rFonts w:cs="Arial"/>
                <w:sz w:val="20"/>
              </w:rPr>
              <w:t>Recreation Services</w:t>
            </w:r>
          </w:p>
        </w:tc>
        <w:tc>
          <w:tcPr>
            <w:tcW w:w="1979" w:type="dxa"/>
            <w:shd w:val="clear" w:color="auto" w:fill="auto"/>
          </w:tcPr>
          <w:p w:rsidR="00476733" w:rsidRDefault="00476733" w:rsidP="00C455B6">
            <w:pPr>
              <w:jc w:val="center"/>
            </w:pPr>
            <w:r w:rsidRPr="004167F3">
              <w:rPr>
                <w:sz w:val="20"/>
              </w:rPr>
              <w:t>$</w:t>
            </w:r>
            <w:r>
              <w:rPr>
                <w:sz w:val="20"/>
              </w:rPr>
              <w:t>0.18</w:t>
            </w:r>
            <w:r w:rsidRPr="004167F3">
              <w:rPr>
                <w:sz w:val="20"/>
              </w:rPr>
              <w:t>m</w:t>
            </w:r>
          </w:p>
        </w:tc>
      </w:tr>
      <w:tr w:rsidR="00476733" w:rsidRPr="00EE456F" w:rsidTr="00C455B6">
        <w:trPr>
          <w:trHeight w:hRule="exact" w:val="144"/>
        </w:trPr>
        <w:tc>
          <w:tcPr>
            <w:tcW w:w="5760" w:type="dxa"/>
            <w:shd w:val="clear" w:color="auto" w:fill="auto"/>
          </w:tcPr>
          <w:p w:rsidR="00476733" w:rsidRPr="00EE456F" w:rsidRDefault="00476733" w:rsidP="00C455B6">
            <w:pPr>
              <w:tabs>
                <w:tab w:val="left" w:pos="720"/>
                <w:tab w:val="left" w:pos="1440"/>
              </w:tabs>
              <w:rPr>
                <w:rFonts w:cs="Arial"/>
                <w:sz w:val="20"/>
              </w:rPr>
            </w:pPr>
          </w:p>
        </w:tc>
        <w:tc>
          <w:tcPr>
            <w:tcW w:w="1979" w:type="dxa"/>
            <w:shd w:val="clear" w:color="auto" w:fill="auto"/>
          </w:tcPr>
          <w:p w:rsidR="00476733" w:rsidRDefault="00476733" w:rsidP="00C455B6">
            <w:pPr>
              <w:jc w:val="center"/>
            </w:pPr>
          </w:p>
        </w:tc>
      </w:tr>
      <w:tr w:rsidR="00476733" w:rsidRPr="00EE456F" w:rsidTr="00C455B6">
        <w:trPr>
          <w:trHeight w:hRule="exact" w:val="288"/>
        </w:trPr>
        <w:tc>
          <w:tcPr>
            <w:tcW w:w="5760" w:type="dxa"/>
            <w:shd w:val="clear" w:color="auto" w:fill="auto"/>
          </w:tcPr>
          <w:p w:rsidR="00476733" w:rsidRDefault="00476733" w:rsidP="00C455B6">
            <w:pPr>
              <w:tabs>
                <w:tab w:val="left" w:pos="720"/>
                <w:tab w:val="left" w:pos="1440"/>
              </w:tabs>
              <w:rPr>
                <w:rFonts w:cs="Arial"/>
                <w:sz w:val="20"/>
              </w:rPr>
            </w:pPr>
            <w:r>
              <w:rPr>
                <w:rFonts w:cs="Arial"/>
                <w:sz w:val="20"/>
              </w:rPr>
              <w:t>Total Grants</w:t>
            </w:r>
          </w:p>
        </w:tc>
        <w:tc>
          <w:tcPr>
            <w:tcW w:w="1979" w:type="dxa"/>
            <w:shd w:val="clear" w:color="auto" w:fill="auto"/>
          </w:tcPr>
          <w:p w:rsidR="00476733" w:rsidRDefault="00476733" w:rsidP="00C455B6">
            <w:pPr>
              <w:jc w:val="center"/>
            </w:pPr>
            <w:r w:rsidRPr="004167F3">
              <w:rPr>
                <w:sz w:val="20"/>
              </w:rPr>
              <w:t>$</w:t>
            </w:r>
            <w:r>
              <w:rPr>
                <w:sz w:val="20"/>
              </w:rPr>
              <w:t>9.09</w:t>
            </w:r>
            <w:r w:rsidRPr="004167F3">
              <w:rPr>
                <w:sz w:val="20"/>
              </w:rPr>
              <w:t>m</w:t>
            </w:r>
          </w:p>
        </w:tc>
      </w:tr>
    </w:tbl>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Interest Income</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Income generated by this item is divided into three parts, municipal fund interest, financial reserves interest and sundry interest income derived from outstanding rates and instalments (including an interest payment for deferred pensioner rates from the State Revenue Office). The term deposit interest rate has been set at 2.75% but may change should the RBA lower further the cash rate below 1.75% This lower outlook for rates has caused the City to reduce the overall interest income budget from $5.57m to $4.77m.</w:t>
      </w:r>
    </w:p>
    <w:p w:rsidR="00476733" w:rsidRDefault="00476733" w:rsidP="00C455B6">
      <w:pPr>
        <w:tabs>
          <w:tab w:val="left" w:pos="720"/>
          <w:tab w:val="left" w:pos="1440"/>
        </w:tabs>
        <w:ind w:left="1440"/>
      </w:pPr>
    </w:p>
    <w:p w:rsidR="00476733" w:rsidRDefault="00476733" w:rsidP="00C455B6">
      <w:pPr>
        <w:pStyle w:val="ListParagraph"/>
        <w:numPr>
          <w:ilvl w:val="0"/>
          <w:numId w:val="39"/>
        </w:numPr>
        <w:tabs>
          <w:tab w:val="left" w:pos="720"/>
          <w:tab w:val="left" w:pos="1440"/>
          <w:tab w:val="left" w:pos="2160"/>
          <w:tab w:val="left" w:pos="6120"/>
        </w:tabs>
        <w:ind w:left="1800"/>
      </w:pPr>
      <w:r>
        <w:t>Municipal Interest</w:t>
      </w:r>
      <w:r>
        <w:tab/>
        <w:t>$2.24m</w:t>
      </w:r>
    </w:p>
    <w:p w:rsidR="00476733" w:rsidRDefault="00476733" w:rsidP="00C455B6">
      <w:pPr>
        <w:pStyle w:val="ListParagraph"/>
        <w:numPr>
          <w:ilvl w:val="0"/>
          <w:numId w:val="39"/>
        </w:numPr>
        <w:tabs>
          <w:tab w:val="left" w:pos="720"/>
          <w:tab w:val="left" w:pos="1440"/>
          <w:tab w:val="left" w:pos="2160"/>
          <w:tab w:val="left" w:pos="6120"/>
        </w:tabs>
        <w:ind w:left="1800"/>
      </w:pPr>
      <w:r>
        <w:t xml:space="preserve">Reserves Interest </w:t>
      </w:r>
      <w:r>
        <w:tab/>
        <w:t>$1.86m</w:t>
      </w:r>
    </w:p>
    <w:p w:rsidR="00476733" w:rsidRDefault="00476733" w:rsidP="00C455B6">
      <w:pPr>
        <w:pStyle w:val="ListParagraph"/>
        <w:numPr>
          <w:ilvl w:val="0"/>
          <w:numId w:val="39"/>
        </w:numPr>
        <w:tabs>
          <w:tab w:val="left" w:pos="720"/>
          <w:tab w:val="left" w:pos="1440"/>
          <w:tab w:val="left" w:pos="2160"/>
          <w:tab w:val="left" w:pos="6120"/>
        </w:tabs>
        <w:ind w:left="1800"/>
      </w:pPr>
      <w:r>
        <w:t xml:space="preserve">Instalment Interest </w:t>
      </w:r>
      <w:r>
        <w:tab/>
        <w:t>$0.44m</w:t>
      </w:r>
    </w:p>
    <w:p w:rsidR="00476733" w:rsidRDefault="00476733" w:rsidP="00C455B6">
      <w:pPr>
        <w:pStyle w:val="ListParagraph"/>
        <w:numPr>
          <w:ilvl w:val="0"/>
          <w:numId w:val="39"/>
        </w:numPr>
        <w:tabs>
          <w:tab w:val="left" w:pos="720"/>
          <w:tab w:val="left" w:pos="1440"/>
          <w:tab w:val="left" w:pos="2160"/>
          <w:tab w:val="left" w:pos="6120"/>
        </w:tabs>
        <w:ind w:left="1800"/>
      </w:pPr>
      <w:r>
        <w:t xml:space="preserve">Penalty Interest </w:t>
      </w:r>
      <w:r>
        <w:tab/>
        <w:t>$0.24m</w:t>
      </w:r>
    </w:p>
    <w:p w:rsidR="00476733" w:rsidRDefault="00476733" w:rsidP="00C455B6">
      <w:pPr>
        <w:pStyle w:val="ListParagraph"/>
        <w:numPr>
          <w:ilvl w:val="0"/>
          <w:numId w:val="39"/>
        </w:numPr>
        <w:tabs>
          <w:tab w:val="left" w:pos="720"/>
          <w:tab w:val="left" w:pos="1440"/>
          <w:tab w:val="left" w:pos="2160"/>
          <w:tab w:val="left" w:pos="6120"/>
        </w:tabs>
        <w:ind w:left="1800"/>
      </w:pPr>
      <w:r>
        <w:t>Deferred Pension rates interest</w:t>
      </w:r>
      <w:r>
        <w:tab/>
        <w:t>$0.03m</w:t>
      </w:r>
    </w:p>
    <w:p w:rsidR="00476733" w:rsidRDefault="00476733" w:rsidP="00C455B6">
      <w:pPr>
        <w:tabs>
          <w:tab w:val="left" w:pos="720"/>
          <w:tab w:val="left" w:pos="1440"/>
        </w:tabs>
        <w:ind w:left="1440"/>
      </w:pPr>
    </w:p>
    <w:p w:rsidR="00476733" w:rsidRDefault="00476733" w:rsidP="00C455B6">
      <w:pPr>
        <w:tabs>
          <w:tab w:val="left" w:pos="720"/>
          <w:tab w:val="left" w:pos="1440"/>
          <w:tab w:val="num" w:pos="1800"/>
          <w:tab w:val="num" w:pos="3153"/>
        </w:tabs>
        <w:ind w:left="1440"/>
      </w:pPr>
      <w:r>
        <w:t>The City is compliant with the latest amendment to the Local Government (Financial Management) Regulations in that all funds are invested in Term Deposits held with Australian Banks or Australian Government Bonds apart from two investments grandfathered under the same regulations. One is a senior bond issued by the Commonwealth Bank and the second is an investment in an Australian mortgage fund comprising “reverse” Australian mortgages. Each investment continues to pay a competitive rate of interest and will be redeemed upon maturity.</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Expenditure</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Budgeted growth of operating expenditure for 2016/17 is 5.1%. The following comparative table indicates the growth of operating expenditure over the financial years 2015/16 to 2016/17.</w:t>
      </w:r>
    </w:p>
    <w:p w:rsidR="00476733" w:rsidRDefault="00476733" w:rsidP="00C455B6">
      <w:pPr>
        <w:tabs>
          <w:tab w:val="left" w:pos="720"/>
          <w:tab w:val="left" w:pos="1440"/>
        </w:tabs>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 xml:space="preserve">Table </w:t>
      </w:r>
      <w:r>
        <w:rPr>
          <w:rFonts w:ascii="Bookman Old Style" w:hAnsi="Bookman Old Style"/>
          <w:i/>
          <w:sz w:val="20"/>
        </w:rPr>
        <w:t>6</w:t>
      </w:r>
      <w:r w:rsidRPr="00D90573">
        <w:rPr>
          <w:rFonts w:ascii="Bookman Old Style" w:hAnsi="Bookman Old Style"/>
          <w:i/>
          <w:sz w:val="20"/>
        </w:rPr>
        <w:t xml:space="preserve"> – Operating expenditure 2016/17 and 2015/16</w:t>
      </w:r>
    </w:p>
    <w:tbl>
      <w:tblPr>
        <w:tblStyle w:val="TableGrid"/>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014"/>
        <w:gridCol w:w="1519"/>
        <w:gridCol w:w="1245"/>
        <w:gridCol w:w="1559"/>
        <w:gridCol w:w="1465"/>
      </w:tblGrid>
      <w:tr w:rsidR="00476733" w:rsidTr="00C455B6">
        <w:trPr>
          <w:tblHeader/>
        </w:trPr>
        <w:tc>
          <w:tcPr>
            <w:tcW w:w="2014" w:type="dxa"/>
            <w:tcBorders>
              <w:top w:val="double" w:sz="4" w:space="0" w:color="auto"/>
              <w:bottom w:val="double" w:sz="4" w:space="0" w:color="auto"/>
            </w:tcBorders>
            <w:vAlign w:val="center"/>
          </w:tcPr>
          <w:p w:rsidR="00476733" w:rsidRPr="008F2B6D" w:rsidRDefault="00476733" w:rsidP="00C455B6">
            <w:pPr>
              <w:jc w:val="center"/>
              <w:rPr>
                <w:rFonts w:cs="Arial"/>
                <w:b/>
                <w:color w:val="000000"/>
                <w:sz w:val="20"/>
                <w:lang w:val="en-US"/>
              </w:rPr>
            </w:pPr>
            <w:r w:rsidRPr="008F2B6D">
              <w:rPr>
                <w:rFonts w:cs="Arial"/>
                <w:b/>
                <w:color w:val="000000"/>
                <w:sz w:val="20"/>
                <w:lang w:val="en-US"/>
              </w:rPr>
              <w:t>All figures $M</w:t>
            </w:r>
          </w:p>
        </w:tc>
        <w:tc>
          <w:tcPr>
            <w:tcW w:w="1519" w:type="dxa"/>
            <w:tcBorders>
              <w:top w:val="double" w:sz="4" w:space="0" w:color="auto"/>
              <w:bottom w:val="double" w:sz="4" w:space="0" w:color="auto"/>
            </w:tcBorders>
            <w:vAlign w:val="center"/>
          </w:tcPr>
          <w:p w:rsidR="00476733" w:rsidRDefault="00476733" w:rsidP="00C455B6">
            <w:pPr>
              <w:jc w:val="center"/>
              <w:rPr>
                <w:rFonts w:cs="Arial"/>
                <w:b/>
                <w:color w:val="000000"/>
                <w:sz w:val="20"/>
                <w:lang w:val="en-US"/>
              </w:rPr>
            </w:pPr>
            <w:r w:rsidRPr="008F2B6D">
              <w:rPr>
                <w:rFonts w:cs="Arial"/>
                <w:b/>
                <w:color w:val="000000"/>
                <w:sz w:val="20"/>
                <w:lang w:val="en-US"/>
              </w:rPr>
              <w:t>201</w:t>
            </w:r>
            <w:r>
              <w:rPr>
                <w:rFonts w:cs="Arial"/>
                <w:b/>
                <w:color w:val="000000"/>
                <w:sz w:val="20"/>
                <w:lang w:val="en-US"/>
              </w:rPr>
              <w:t>5/16 Amended</w:t>
            </w:r>
          </w:p>
          <w:p w:rsidR="00476733" w:rsidRDefault="00476733" w:rsidP="00C455B6">
            <w:pPr>
              <w:jc w:val="center"/>
              <w:rPr>
                <w:rFonts w:cs="Arial"/>
                <w:b/>
                <w:color w:val="000000"/>
                <w:sz w:val="20"/>
                <w:lang w:val="en-US"/>
              </w:rPr>
            </w:pPr>
            <w:r w:rsidRPr="008F2B6D">
              <w:rPr>
                <w:rFonts w:cs="Arial"/>
                <w:b/>
                <w:color w:val="000000"/>
                <w:sz w:val="20"/>
                <w:lang w:val="en-US"/>
              </w:rPr>
              <w:t>Budget</w:t>
            </w:r>
          </w:p>
          <w:p w:rsidR="00476733" w:rsidRPr="008F2B6D" w:rsidRDefault="00476733" w:rsidP="00C455B6">
            <w:pPr>
              <w:jc w:val="center"/>
              <w:rPr>
                <w:rFonts w:cs="Arial"/>
                <w:b/>
                <w:color w:val="000000"/>
                <w:sz w:val="20"/>
                <w:lang w:val="en-US"/>
              </w:rPr>
            </w:pPr>
            <w:r>
              <w:rPr>
                <w:rFonts w:cs="Arial"/>
                <w:b/>
                <w:color w:val="000000"/>
                <w:sz w:val="20"/>
                <w:lang w:val="en-US"/>
              </w:rPr>
              <w:t>$</w:t>
            </w:r>
          </w:p>
        </w:tc>
        <w:tc>
          <w:tcPr>
            <w:tcW w:w="1245" w:type="dxa"/>
            <w:tcBorders>
              <w:top w:val="double" w:sz="4" w:space="0" w:color="auto"/>
              <w:bottom w:val="double" w:sz="4" w:space="0" w:color="auto"/>
            </w:tcBorders>
            <w:vAlign w:val="center"/>
          </w:tcPr>
          <w:p w:rsidR="00476733" w:rsidRDefault="00476733" w:rsidP="00C455B6">
            <w:pPr>
              <w:jc w:val="center"/>
              <w:rPr>
                <w:rFonts w:cs="Arial"/>
                <w:b/>
                <w:color w:val="000000"/>
                <w:sz w:val="20"/>
                <w:lang w:val="en-US"/>
              </w:rPr>
            </w:pPr>
            <w:r>
              <w:rPr>
                <w:rFonts w:cs="Arial"/>
                <w:b/>
                <w:color w:val="000000"/>
                <w:sz w:val="20"/>
                <w:lang w:val="en-US"/>
              </w:rPr>
              <w:t>2016/17</w:t>
            </w:r>
            <w:r w:rsidRPr="008F2B6D">
              <w:rPr>
                <w:rFonts w:cs="Arial"/>
                <w:b/>
                <w:color w:val="000000"/>
                <w:sz w:val="20"/>
                <w:lang w:val="en-US"/>
              </w:rPr>
              <w:t xml:space="preserve"> Budget</w:t>
            </w:r>
          </w:p>
          <w:p w:rsidR="00476733" w:rsidRPr="008F2B6D" w:rsidRDefault="00476733" w:rsidP="00C455B6">
            <w:pPr>
              <w:jc w:val="center"/>
              <w:rPr>
                <w:rFonts w:cs="Arial"/>
                <w:b/>
                <w:color w:val="000000"/>
                <w:sz w:val="20"/>
                <w:lang w:val="en-US"/>
              </w:rPr>
            </w:pPr>
            <w:r>
              <w:rPr>
                <w:rFonts w:cs="Arial"/>
                <w:b/>
                <w:color w:val="000000"/>
                <w:sz w:val="20"/>
                <w:lang w:val="en-US"/>
              </w:rPr>
              <w:t>$</w:t>
            </w:r>
          </w:p>
        </w:tc>
        <w:tc>
          <w:tcPr>
            <w:tcW w:w="1559" w:type="dxa"/>
            <w:tcBorders>
              <w:top w:val="double" w:sz="4" w:space="0" w:color="auto"/>
              <w:bottom w:val="double" w:sz="4" w:space="0" w:color="auto"/>
            </w:tcBorders>
            <w:vAlign w:val="center"/>
          </w:tcPr>
          <w:p w:rsidR="00476733" w:rsidRDefault="00476733" w:rsidP="00C455B6">
            <w:pPr>
              <w:jc w:val="center"/>
              <w:rPr>
                <w:rFonts w:cs="Arial"/>
                <w:b/>
                <w:color w:val="000000"/>
                <w:sz w:val="20"/>
                <w:lang w:val="en-US"/>
              </w:rPr>
            </w:pPr>
            <w:r w:rsidRPr="008F2B6D">
              <w:rPr>
                <w:rFonts w:cs="Arial"/>
                <w:b/>
                <w:color w:val="000000"/>
                <w:sz w:val="20"/>
                <w:lang w:val="en-US"/>
              </w:rPr>
              <w:t>Increase 1</w:t>
            </w:r>
            <w:r>
              <w:rPr>
                <w:rFonts w:cs="Arial"/>
                <w:b/>
                <w:color w:val="000000"/>
                <w:sz w:val="20"/>
                <w:lang w:val="en-US"/>
              </w:rPr>
              <w:t>6/17</w:t>
            </w:r>
            <w:r w:rsidRPr="008F2B6D">
              <w:rPr>
                <w:rFonts w:cs="Arial"/>
                <w:b/>
                <w:color w:val="000000"/>
                <w:sz w:val="20"/>
                <w:lang w:val="en-US"/>
              </w:rPr>
              <w:t xml:space="preserve"> Budget on</w:t>
            </w:r>
            <w:r>
              <w:rPr>
                <w:rFonts w:cs="Arial"/>
                <w:b/>
                <w:color w:val="000000"/>
                <w:sz w:val="20"/>
                <w:lang w:val="en-US"/>
              </w:rPr>
              <w:t xml:space="preserve"> </w:t>
            </w:r>
            <w:r w:rsidRPr="008F2B6D">
              <w:rPr>
                <w:rFonts w:cs="Arial"/>
                <w:b/>
                <w:color w:val="000000"/>
                <w:sz w:val="20"/>
                <w:lang w:val="en-US"/>
              </w:rPr>
              <w:t>1</w:t>
            </w:r>
            <w:r>
              <w:rPr>
                <w:rFonts w:cs="Arial"/>
                <w:b/>
                <w:color w:val="000000"/>
                <w:sz w:val="20"/>
                <w:lang w:val="en-US"/>
              </w:rPr>
              <w:t>5</w:t>
            </w:r>
            <w:r w:rsidRPr="008F2B6D">
              <w:rPr>
                <w:rFonts w:cs="Arial"/>
                <w:b/>
                <w:color w:val="000000"/>
                <w:sz w:val="20"/>
                <w:lang w:val="en-US"/>
              </w:rPr>
              <w:t>/1</w:t>
            </w:r>
            <w:r>
              <w:rPr>
                <w:rFonts w:cs="Arial"/>
                <w:b/>
                <w:color w:val="000000"/>
                <w:sz w:val="20"/>
                <w:lang w:val="en-US"/>
              </w:rPr>
              <w:t>6 Bud</w:t>
            </w:r>
            <w:r w:rsidRPr="008F2B6D">
              <w:rPr>
                <w:rFonts w:cs="Arial"/>
                <w:b/>
                <w:color w:val="000000"/>
                <w:sz w:val="20"/>
                <w:lang w:val="en-US"/>
              </w:rPr>
              <w:t>get</w:t>
            </w:r>
          </w:p>
          <w:p w:rsidR="00476733" w:rsidRPr="008F2B6D" w:rsidRDefault="00476733" w:rsidP="00C455B6">
            <w:pPr>
              <w:jc w:val="center"/>
              <w:rPr>
                <w:rFonts w:cs="Arial"/>
                <w:b/>
                <w:color w:val="000000"/>
                <w:sz w:val="20"/>
                <w:lang w:val="en-US"/>
              </w:rPr>
            </w:pPr>
            <w:r>
              <w:rPr>
                <w:rFonts w:cs="Arial"/>
                <w:b/>
                <w:color w:val="000000"/>
                <w:sz w:val="20"/>
                <w:lang w:val="en-US"/>
              </w:rPr>
              <w:t>$</w:t>
            </w:r>
          </w:p>
        </w:tc>
        <w:tc>
          <w:tcPr>
            <w:tcW w:w="1465" w:type="dxa"/>
            <w:tcBorders>
              <w:top w:val="double" w:sz="4" w:space="0" w:color="auto"/>
              <w:bottom w:val="double" w:sz="4" w:space="0" w:color="auto"/>
            </w:tcBorders>
            <w:vAlign w:val="center"/>
          </w:tcPr>
          <w:p w:rsidR="00476733" w:rsidRDefault="00476733" w:rsidP="00C455B6">
            <w:pPr>
              <w:jc w:val="center"/>
              <w:rPr>
                <w:rFonts w:cs="Arial"/>
                <w:b/>
                <w:color w:val="000000"/>
                <w:sz w:val="20"/>
                <w:lang w:val="en-US"/>
              </w:rPr>
            </w:pPr>
            <w:r>
              <w:rPr>
                <w:rFonts w:cs="Arial"/>
                <w:b/>
                <w:color w:val="000000"/>
                <w:sz w:val="20"/>
                <w:lang w:val="en-US"/>
              </w:rPr>
              <w:t xml:space="preserve">% of Overall Cost of 16/17 </w:t>
            </w:r>
            <w:r w:rsidRPr="008F2B6D">
              <w:rPr>
                <w:rFonts w:cs="Arial"/>
                <w:b/>
                <w:color w:val="000000"/>
                <w:sz w:val="20"/>
                <w:lang w:val="en-US"/>
              </w:rPr>
              <w:t>Budget</w:t>
            </w:r>
          </w:p>
          <w:p w:rsidR="00476733" w:rsidRPr="008F2B6D" w:rsidRDefault="00476733" w:rsidP="00C455B6">
            <w:pPr>
              <w:jc w:val="center"/>
              <w:rPr>
                <w:rFonts w:cs="Arial"/>
                <w:b/>
                <w:color w:val="000000"/>
                <w:sz w:val="20"/>
                <w:lang w:val="en-US"/>
              </w:rPr>
            </w:pPr>
            <w:r>
              <w:rPr>
                <w:rFonts w:cs="Arial"/>
                <w:b/>
                <w:color w:val="000000"/>
                <w:sz w:val="20"/>
                <w:lang w:val="en-US"/>
              </w:rPr>
              <w:t>$</w:t>
            </w:r>
          </w:p>
        </w:tc>
      </w:tr>
      <w:tr w:rsidR="00476733" w:rsidTr="00C455B6">
        <w:tc>
          <w:tcPr>
            <w:tcW w:w="2014" w:type="dxa"/>
            <w:tcBorders>
              <w:top w:val="double" w:sz="4" w:space="0" w:color="auto"/>
            </w:tcBorders>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Payroll</w:t>
            </w:r>
          </w:p>
        </w:tc>
        <w:tc>
          <w:tcPr>
            <w:tcW w:w="1519" w:type="dxa"/>
            <w:tcBorders>
              <w:top w:val="double" w:sz="4" w:space="0" w:color="auto"/>
            </w:tcBorders>
            <w:vAlign w:val="bottom"/>
          </w:tcPr>
          <w:p w:rsidR="00476733" w:rsidRPr="00761203" w:rsidRDefault="00476733" w:rsidP="00C455B6">
            <w:pPr>
              <w:pStyle w:val="NormalWeb"/>
              <w:jc w:val="center"/>
              <w:textAlignment w:val="bottom"/>
              <w:rPr>
                <w:rFonts w:ascii="Arial" w:hAnsi="Arial" w:cs="Arial"/>
                <w:sz w:val="20"/>
                <w:szCs w:val="20"/>
              </w:rPr>
            </w:pPr>
            <w:r>
              <w:rPr>
                <w:rFonts w:ascii="Arial" w:hAnsi="Arial" w:cs="Arial"/>
                <w:color w:val="000000" w:themeColor="text1"/>
                <w:kern w:val="24"/>
                <w:sz w:val="20"/>
                <w:szCs w:val="20"/>
              </w:rPr>
              <w:t>47.92</w:t>
            </w:r>
          </w:p>
        </w:tc>
        <w:tc>
          <w:tcPr>
            <w:tcW w:w="1245" w:type="dxa"/>
            <w:tcBorders>
              <w:top w:val="double" w:sz="4" w:space="0" w:color="auto"/>
            </w:tcBorders>
            <w:vAlign w:val="bottom"/>
          </w:tcPr>
          <w:p w:rsidR="00476733" w:rsidRPr="00761203" w:rsidRDefault="00476733" w:rsidP="00C455B6">
            <w:pPr>
              <w:pStyle w:val="NormalWeb"/>
              <w:jc w:val="center"/>
              <w:textAlignment w:val="bottom"/>
              <w:rPr>
                <w:rFonts w:ascii="Arial" w:hAnsi="Arial" w:cs="Arial"/>
                <w:sz w:val="20"/>
                <w:szCs w:val="20"/>
              </w:rPr>
            </w:pPr>
            <w:r w:rsidRPr="00761203">
              <w:rPr>
                <w:rFonts w:ascii="Arial" w:hAnsi="Arial" w:cs="Arial"/>
                <w:color w:val="000000" w:themeColor="text1"/>
                <w:kern w:val="24"/>
                <w:sz w:val="20"/>
                <w:szCs w:val="20"/>
              </w:rPr>
              <w:t>4</w:t>
            </w:r>
            <w:r>
              <w:rPr>
                <w:rFonts w:ascii="Arial" w:hAnsi="Arial" w:cs="Arial"/>
                <w:color w:val="000000" w:themeColor="text1"/>
                <w:kern w:val="24"/>
                <w:sz w:val="20"/>
                <w:szCs w:val="20"/>
              </w:rPr>
              <w:t>8.87</w:t>
            </w:r>
          </w:p>
        </w:tc>
        <w:tc>
          <w:tcPr>
            <w:tcW w:w="1559" w:type="dxa"/>
            <w:tcBorders>
              <w:top w:val="double" w:sz="4" w:space="0" w:color="auto"/>
            </w:tcBorders>
            <w:vAlign w:val="bottom"/>
          </w:tcPr>
          <w:p w:rsidR="00476733" w:rsidRPr="00761203" w:rsidRDefault="00476733" w:rsidP="00C455B6">
            <w:pPr>
              <w:jc w:val="center"/>
              <w:rPr>
                <w:rFonts w:cs="Arial"/>
                <w:color w:val="000000"/>
                <w:sz w:val="20"/>
                <w:lang w:val="en-US"/>
              </w:rPr>
            </w:pPr>
            <w:r>
              <w:rPr>
                <w:rFonts w:cs="Arial"/>
                <w:color w:val="000000"/>
                <w:sz w:val="20"/>
                <w:lang w:val="en-US"/>
              </w:rPr>
              <w:t>2.0</w:t>
            </w:r>
            <w:r w:rsidRPr="00761203">
              <w:rPr>
                <w:rFonts w:cs="Arial"/>
                <w:color w:val="000000"/>
                <w:sz w:val="20"/>
                <w:lang w:val="en-US"/>
              </w:rPr>
              <w:t>%</w:t>
            </w:r>
          </w:p>
        </w:tc>
        <w:tc>
          <w:tcPr>
            <w:tcW w:w="1465" w:type="dxa"/>
            <w:tcBorders>
              <w:top w:val="double" w:sz="4" w:space="0" w:color="auto"/>
            </w:tcBorders>
            <w:vAlign w:val="bottom"/>
          </w:tcPr>
          <w:p w:rsidR="00476733" w:rsidRPr="00761203" w:rsidRDefault="00476733" w:rsidP="00C455B6">
            <w:pPr>
              <w:jc w:val="center"/>
              <w:rPr>
                <w:rFonts w:cs="Arial"/>
                <w:color w:val="000000"/>
                <w:sz w:val="20"/>
                <w:lang w:val="en-US"/>
              </w:rPr>
            </w:pPr>
            <w:r>
              <w:rPr>
                <w:rFonts w:cs="Arial"/>
                <w:color w:val="000000"/>
                <w:sz w:val="20"/>
                <w:lang w:val="en-US"/>
              </w:rPr>
              <w:t>37</w:t>
            </w:r>
            <w:r w:rsidRPr="00761203">
              <w:rPr>
                <w:rFonts w:cs="Arial"/>
                <w:color w:val="000000"/>
                <w:sz w:val="20"/>
                <w:lang w:val="en-US"/>
              </w:rPr>
              <w:t>.4%</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Materials</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38.34</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4</w:t>
            </w:r>
            <w:r>
              <w:rPr>
                <w:rFonts w:ascii="Arial" w:hAnsi="Arial" w:cs="Arial"/>
                <w:color w:val="000000" w:themeColor="text1"/>
                <w:kern w:val="24"/>
                <w:sz w:val="20"/>
                <w:szCs w:val="20"/>
              </w:rPr>
              <w:t>1</w:t>
            </w:r>
            <w:r w:rsidRPr="00761203">
              <w:rPr>
                <w:rFonts w:ascii="Arial" w:hAnsi="Arial" w:cs="Arial"/>
                <w:color w:val="000000" w:themeColor="text1"/>
                <w:kern w:val="24"/>
                <w:sz w:val="20"/>
                <w:szCs w:val="20"/>
              </w:rPr>
              <w:t>.</w:t>
            </w:r>
            <w:r>
              <w:rPr>
                <w:rFonts w:ascii="Arial" w:hAnsi="Arial" w:cs="Arial"/>
                <w:color w:val="000000" w:themeColor="text1"/>
                <w:kern w:val="24"/>
                <w:sz w:val="20"/>
                <w:szCs w:val="20"/>
              </w:rPr>
              <w:t>3</w:t>
            </w:r>
            <w:r w:rsidRPr="00761203">
              <w:rPr>
                <w:rFonts w:ascii="Arial" w:hAnsi="Arial" w:cs="Arial"/>
                <w:color w:val="000000" w:themeColor="text1"/>
                <w:kern w:val="24"/>
                <w:sz w:val="20"/>
                <w:szCs w:val="20"/>
              </w:rPr>
              <w:t>7</w:t>
            </w:r>
          </w:p>
        </w:tc>
        <w:tc>
          <w:tcPr>
            <w:tcW w:w="1559" w:type="dxa"/>
          </w:tcPr>
          <w:p w:rsidR="00476733" w:rsidRPr="00761203" w:rsidRDefault="00476733" w:rsidP="00C455B6">
            <w:pPr>
              <w:jc w:val="center"/>
              <w:rPr>
                <w:rFonts w:cs="Arial"/>
                <w:sz w:val="20"/>
              </w:rPr>
            </w:pPr>
            <w:r w:rsidRPr="00761203">
              <w:rPr>
                <w:rFonts w:cs="Arial"/>
                <w:color w:val="000000"/>
                <w:sz w:val="20"/>
                <w:lang w:val="en-US"/>
              </w:rPr>
              <w:t>6.1%</w:t>
            </w:r>
          </w:p>
        </w:tc>
        <w:tc>
          <w:tcPr>
            <w:tcW w:w="1465" w:type="dxa"/>
          </w:tcPr>
          <w:p w:rsidR="00476733" w:rsidRPr="00761203" w:rsidRDefault="00476733" w:rsidP="00C455B6">
            <w:pPr>
              <w:jc w:val="center"/>
              <w:rPr>
                <w:rFonts w:cs="Arial"/>
                <w:sz w:val="20"/>
              </w:rPr>
            </w:pPr>
            <w:r w:rsidRPr="00761203">
              <w:rPr>
                <w:rFonts w:cs="Arial"/>
                <w:color w:val="000000"/>
                <w:sz w:val="20"/>
                <w:lang w:val="en-US"/>
              </w:rPr>
              <w:t>31.2%</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Utilities</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4.5</w:t>
            </w:r>
            <w:r>
              <w:rPr>
                <w:rFonts w:ascii="Arial" w:hAnsi="Arial" w:cs="Arial"/>
                <w:color w:val="000000" w:themeColor="text1"/>
                <w:kern w:val="24"/>
                <w:sz w:val="20"/>
                <w:szCs w:val="20"/>
              </w:rPr>
              <w:t>7</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4.68</w:t>
            </w:r>
          </w:p>
        </w:tc>
        <w:tc>
          <w:tcPr>
            <w:tcW w:w="1559" w:type="dxa"/>
          </w:tcPr>
          <w:p w:rsidR="00476733" w:rsidRPr="00761203" w:rsidRDefault="00476733" w:rsidP="00C455B6">
            <w:pPr>
              <w:jc w:val="center"/>
              <w:rPr>
                <w:rFonts w:cs="Arial"/>
                <w:sz w:val="20"/>
              </w:rPr>
            </w:pPr>
            <w:r w:rsidRPr="00761203">
              <w:rPr>
                <w:rFonts w:cs="Arial"/>
                <w:color w:val="000000"/>
                <w:sz w:val="20"/>
                <w:lang w:val="en-US"/>
              </w:rPr>
              <w:t>2.6%</w:t>
            </w:r>
          </w:p>
        </w:tc>
        <w:tc>
          <w:tcPr>
            <w:tcW w:w="1465" w:type="dxa"/>
          </w:tcPr>
          <w:p w:rsidR="00476733" w:rsidRPr="00761203" w:rsidRDefault="00476733" w:rsidP="00C455B6">
            <w:pPr>
              <w:jc w:val="center"/>
              <w:rPr>
                <w:rFonts w:cs="Arial"/>
                <w:sz w:val="20"/>
              </w:rPr>
            </w:pPr>
            <w:r w:rsidRPr="00761203">
              <w:rPr>
                <w:rFonts w:cs="Arial"/>
                <w:color w:val="000000"/>
                <w:sz w:val="20"/>
                <w:lang w:val="en-US"/>
              </w:rPr>
              <w:t>3.6%</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Interest Expense</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0.07</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0.93</w:t>
            </w:r>
          </w:p>
        </w:tc>
        <w:tc>
          <w:tcPr>
            <w:tcW w:w="1559" w:type="dxa"/>
          </w:tcPr>
          <w:p w:rsidR="00476733" w:rsidRPr="00761203" w:rsidRDefault="00476733" w:rsidP="00C455B6">
            <w:pPr>
              <w:jc w:val="center"/>
              <w:rPr>
                <w:rFonts w:cs="Arial"/>
                <w:sz w:val="20"/>
              </w:rPr>
            </w:pPr>
            <w:r w:rsidRPr="00761203">
              <w:rPr>
                <w:rFonts w:cs="Arial"/>
                <w:color w:val="000000"/>
                <w:sz w:val="20"/>
                <w:lang w:val="en-US"/>
              </w:rPr>
              <w:t>n/a</w:t>
            </w:r>
          </w:p>
        </w:tc>
        <w:tc>
          <w:tcPr>
            <w:tcW w:w="1465" w:type="dxa"/>
          </w:tcPr>
          <w:p w:rsidR="00476733" w:rsidRPr="00761203" w:rsidRDefault="00476733" w:rsidP="00C455B6">
            <w:pPr>
              <w:jc w:val="center"/>
              <w:rPr>
                <w:rFonts w:cs="Arial"/>
                <w:sz w:val="20"/>
              </w:rPr>
            </w:pPr>
            <w:r w:rsidRPr="00761203">
              <w:rPr>
                <w:rFonts w:cs="Arial"/>
                <w:color w:val="000000"/>
                <w:sz w:val="20"/>
                <w:lang w:val="en-US"/>
              </w:rPr>
              <w:t>0.7%</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Insurance</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2.13</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2.24</w:t>
            </w:r>
          </w:p>
        </w:tc>
        <w:tc>
          <w:tcPr>
            <w:tcW w:w="1559" w:type="dxa"/>
          </w:tcPr>
          <w:p w:rsidR="00476733" w:rsidRPr="00761203" w:rsidRDefault="00476733" w:rsidP="00C455B6">
            <w:pPr>
              <w:jc w:val="center"/>
              <w:rPr>
                <w:rFonts w:cs="Arial"/>
                <w:sz w:val="20"/>
              </w:rPr>
            </w:pPr>
            <w:r w:rsidRPr="00761203">
              <w:rPr>
                <w:rFonts w:cs="Arial"/>
                <w:color w:val="000000"/>
                <w:sz w:val="20"/>
                <w:lang w:val="en-US"/>
              </w:rPr>
              <w:t>5.1%</w:t>
            </w:r>
          </w:p>
        </w:tc>
        <w:tc>
          <w:tcPr>
            <w:tcW w:w="1465" w:type="dxa"/>
          </w:tcPr>
          <w:p w:rsidR="00476733" w:rsidRPr="00761203" w:rsidRDefault="00476733" w:rsidP="00C455B6">
            <w:pPr>
              <w:jc w:val="center"/>
              <w:rPr>
                <w:rFonts w:cs="Arial"/>
                <w:sz w:val="20"/>
              </w:rPr>
            </w:pPr>
            <w:r w:rsidRPr="00761203">
              <w:rPr>
                <w:rFonts w:cs="Arial"/>
                <w:color w:val="000000"/>
                <w:sz w:val="20"/>
                <w:lang w:val="en-US"/>
              </w:rPr>
              <w:t>1.7%</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Other Expenses</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6.82</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7.</w:t>
            </w:r>
            <w:r>
              <w:rPr>
                <w:rFonts w:ascii="Arial" w:hAnsi="Arial" w:cs="Arial"/>
                <w:color w:val="000000" w:themeColor="text1"/>
                <w:kern w:val="24"/>
                <w:sz w:val="20"/>
                <w:szCs w:val="20"/>
              </w:rPr>
              <w:t>33</w:t>
            </w:r>
          </w:p>
        </w:tc>
        <w:tc>
          <w:tcPr>
            <w:tcW w:w="1559" w:type="dxa"/>
          </w:tcPr>
          <w:p w:rsidR="00476733" w:rsidRPr="00761203" w:rsidRDefault="00476733" w:rsidP="00C455B6">
            <w:pPr>
              <w:jc w:val="center"/>
              <w:rPr>
                <w:rFonts w:cs="Arial"/>
                <w:sz w:val="20"/>
              </w:rPr>
            </w:pPr>
            <w:r w:rsidRPr="00761203">
              <w:rPr>
                <w:rFonts w:cs="Arial"/>
                <w:color w:val="000000"/>
                <w:sz w:val="20"/>
                <w:lang w:val="en-US"/>
              </w:rPr>
              <w:t>12.7%</w:t>
            </w:r>
          </w:p>
        </w:tc>
        <w:tc>
          <w:tcPr>
            <w:tcW w:w="1465" w:type="dxa"/>
          </w:tcPr>
          <w:p w:rsidR="00476733" w:rsidRPr="00761203" w:rsidRDefault="00476733" w:rsidP="00C455B6">
            <w:pPr>
              <w:jc w:val="center"/>
              <w:rPr>
                <w:rFonts w:cs="Arial"/>
                <w:sz w:val="20"/>
              </w:rPr>
            </w:pPr>
            <w:r w:rsidRPr="00761203">
              <w:rPr>
                <w:rFonts w:cs="Arial"/>
                <w:color w:val="000000"/>
                <w:sz w:val="20"/>
                <w:lang w:val="en-US"/>
              </w:rPr>
              <w:t>5.9%</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Depreciation</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27.5</w:t>
            </w:r>
            <w:r>
              <w:rPr>
                <w:rFonts w:ascii="Arial" w:hAnsi="Arial" w:cs="Arial"/>
                <w:color w:val="000000" w:themeColor="text1"/>
                <w:kern w:val="24"/>
                <w:sz w:val="20"/>
                <w:szCs w:val="20"/>
              </w:rPr>
              <w:t>3</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27.54</w:t>
            </w:r>
          </w:p>
        </w:tc>
        <w:tc>
          <w:tcPr>
            <w:tcW w:w="1559" w:type="dxa"/>
          </w:tcPr>
          <w:p w:rsidR="00476733" w:rsidRPr="00761203" w:rsidRDefault="00476733" w:rsidP="00C455B6">
            <w:pPr>
              <w:jc w:val="center"/>
              <w:rPr>
                <w:rFonts w:cs="Arial"/>
                <w:sz w:val="20"/>
              </w:rPr>
            </w:pPr>
            <w:r w:rsidRPr="00761203">
              <w:rPr>
                <w:rFonts w:cs="Arial"/>
                <w:color w:val="000000"/>
                <w:sz w:val="20"/>
                <w:lang w:val="en-US"/>
              </w:rPr>
              <w:t>n/a</w:t>
            </w:r>
          </w:p>
        </w:tc>
        <w:tc>
          <w:tcPr>
            <w:tcW w:w="1465" w:type="dxa"/>
          </w:tcPr>
          <w:p w:rsidR="00476733" w:rsidRPr="00761203" w:rsidRDefault="00476733" w:rsidP="00C455B6">
            <w:pPr>
              <w:jc w:val="center"/>
              <w:rPr>
                <w:rFonts w:cs="Arial"/>
                <w:sz w:val="20"/>
              </w:rPr>
            </w:pPr>
            <w:r w:rsidRPr="00761203">
              <w:rPr>
                <w:rFonts w:cs="Arial"/>
                <w:color w:val="000000"/>
                <w:sz w:val="20"/>
                <w:lang w:val="en-US"/>
              </w:rPr>
              <w:t>21.1%</w:t>
            </w:r>
          </w:p>
        </w:tc>
      </w:tr>
      <w:tr w:rsidR="00476733" w:rsidTr="00C455B6">
        <w:tc>
          <w:tcPr>
            <w:tcW w:w="2014" w:type="dxa"/>
            <w:vAlign w:val="bottom"/>
          </w:tcPr>
          <w:p w:rsidR="00476733" w:rsidRPr="008F2B6D" w:rsidRDefault="00476733" w:rsidP="00C455B6">
            <w:pPr>
              <w:jc w:val="left"/>
              <w:rPr>
                <w:rFonts w:cs="Arial"/>
                <w:color w:val="000000"/>
                <w:sz w:val="20"/>
                <w:lang w:val="en-US"/>
              </w:rPr>
            </w:pPr>
            <w:r w:rsidRPr="008F2B6D">
              <w:rPr>
                <w:rFonts w:cs="Arial"/>
                <w:color w:val="000000"/>
                <w:sz w:val="20"/>
                <w:lang w:val="en-US"/>
              </w:rPr>
              <w:t>Internal Recharging</w:t>
            </w:r>
          </w:p>
        </w:tc>
        <w:tc>
          <w:tcPr>
            <w:tcW w:w="1519"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(3.02)</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sz w:val="20"/>
                <w:szCs w:val="20"/>
              </w:rPr>
            </w:pPr>
            <w:r w:rsidRPr="00761203">
              <w:rPr>
                <w:rFonts w:ascii="Arial" w:hAnsi="Arial" w:cs="Arial"/>
                <w:color w:val="000000" w:themeColor="text1"/>
                <w:kern w:val="24"/>
                <w:sz w:val="20"/>
                <w:szCs w:val="20"/>
              </w:rPr>
              <w:t>(2.22)</w:t>
            </w:r>
          </w:p>
        </w:tc>
        <w:tc>
          <w:tcPr>
            <w:tcW w:w="1559" w:type="dxa"/>
          </w:tcPr>
          <w:p w:rsidR="00476733" w:rsidRPr="00761203" w:rsidRDefault="00476733" w:rsidP="00C455B6">
            <w:pPr>
              <w:jc w:val="center"/>
              <w:rPr>
                <w:rFonts w:cs="Arial"/>
                <w:sz w:val="20"/>
              </w:rPr>
            </w:pPr>
            <w:r w:rsidRPr="00761203">
              <w:rPr>
                <w:rFonts w:cs="Arial"/>
                <w:color w:val="000000"/>
                <w:sz w:val="20"/>
                <w:lang w:val="en-US"/>
              </w:rPr>
              <w:t>-26.4%</w:t>
            </w:r>
          </w:p>
        </w:tc>
        <w:tc>
          <w:tcPr>
            <w:tcW w:w="1465" w:type="dxa"/>
          </w:tcPr>
          <w:p w:rsidR="00476733" w:rsidRPr="00761203" w:rsidRDefault="00476733" w:rsidP="00C455B6">
            <w:pPr>
              <w:jc w:val="center"/>
              <w:rPr>
                <w:rFonts w:cs="Arial"/>
                <w:sz w:val="20"/>
              </w:rPr>
            </w:pPr>
            <w:r w:rsidRPr="00761203">
              <w:rPr>
                <w:rFonts w:cs="Arial"/>
                <w:color w:val="000000"/>
                <w:sz w:val="20"/>
                <w:lang w:val="en-US"/>
              </w:rPr>
              <w:t>-1.6%</w:t>
            </w:r>
          </w:p>
        </w:tc>
      </w:tr>
      <w:tr w:rsidR="00476733" w:rsidTr="00C455B6">
        <w:tc>
          <w:tcPr>
            <w:tcW w:w="2014" w:type="dxa"/>
            <w:vAlign w:val="bottom"/>
          </w:tcPr>
          <w:p w:rsidR="00476733" w:rsidRPr="008F2B6D" w:rsidRDefault="00476733" w:rsidP="00C455B6">
            <w:pPr>
              <w:jc w:val="left"/>
              <w:rPr>
                <w:rFonts w:cs="Arial"/>
                <w:b/>
                <w:color w:val="000000"/>
                <w:sz w:val="20"/>
                <w:lang w:val="en-US"/>
              </w:rPr>
            </w:pPr>
            <w:r w:rsidRPr="008F2B6D">
              <w:rPr>
                <w:rFonts w:cs="Arial"/>
                <w:b/>
                <w:color w:val="000000"/>
                <w:sz w:val="20"/>
                <w:lang w:val="en-US"/>
              </w:rPr>
              <w:t>Total Expenditure</w:t>
            </w:r>
          </w:p>
        </w:tc>
        <w:tc>
          <w:tcPr>
            <w:tcW w:w="1519" w:type="dxa"/>
            <w:vAlign w:val="bottom"/>
          </w:tcPr>
          <w:p w:rsidR="00476733" w:rsidRPr="00761203" w:rsidRDefault="00476733" w:rsidP="00C455B6">
            <w:pPr>
              <w:pStyle w:val="NormalWeb"/>
              <w:jc w:val="center"/>
              <w:textAlignment w:val="bottom"/>
              <w:rPr>
                <w:rFonts w:ascii="Arial" w:hAnsi="Arial" w:cs="Arial"/>
                <w:sz w:val="20"/>
                <w:szCs w:val="20"/>
              </w:rPr>
            </w:pPr>
            <w:r w:rsidRPr="00761203">
              <w:rPr>
                <w:rFonts w:ascii="Arial" w:hAnsi="Arial" w:cs="Arial"/>
                <w:color w:val="000000" w:themeColor="text1"/>
                <w:kern w:val="24"/>
                <w:sz w:val="20"/>
                <w:szCs w:val="20"/>
              </w:rPr>
              <w:t>124.</w:t>
            </w:r>
            <w:r>
              <w:rPr>
                <w:rFonts w:ascii="Arial" w:hAnsi="Arial" w:cs="Arial"/>
                <w:color w:val="000000" w:themeColor="text1"/>
                <w:kern w:val="24"/>
                <w:sz w:val="20"/>
                <w:szCs w:val="20"/>
              </w:rPr>
              <w:t>6</w:t>
            </w:r>
            <w:r w:rsidRPr="00761203">
              <w:rPr>
                <w:rFonts w:ascii="Arial" w:hAnsi="Arial" w:cs="Arial"/>
                <w:color w:val="000000" w:themeColor="text1"/>
                <w:kern w:val="24"/>
                <w:sz w:val="20"/>
                <w:szCs w:val="20"/>
              </w:rPr>
              <w:t>4</w:t>
            </w:r>
          </w:p>
        </w:tc>
        <w:tc>
          <w:tcPr>
            <w:tcW w:w="1245" w:type="dxa"/>
            <w:vAlign w:val="bottom"/>
          </w:tcPr>
          <w:p w:rsidR="00476733" w:rsidRPr="00761203" w:rsidRDefault="00476733" w:rsidP="00C455B6">
            <w:pPr>
              <w:pStyle w:val="NormalWeb"/>
              <w:spacing w:line="281" w:lineRule="atLeast"/>
              <w:jc w:val="center"/>
              <w:textAlignment w:val="bottom"/>
              <w:rPr>
                <w:rFonts w:ascii="Arial" w:hAnsi="Arial" w:cs="Arial"/>
                <w:color w:val="000000" w:themeColor="text1"/>
                <w:kern w:val="24"/>
                <w:sz w:val="20"/>
                <w:szCs w:val="20"/>
              </w:rPr>
            </w:pPr>
            <w:r w:rsidRPr="00761203">
              <w:rPr>
                <w:rFonts w:ascii="Arial" w:hAnsi="Arial" w:cs="Arial"/>
                <w:b/>
                <w:bCs/>
                <w:color w:val="000000" w:themeColor="text1"/>
                <w:kern w:val="24"/>
                <w:sz w:val="20"/>
                <w:szCs w:val="20"/>
              </w:rPr>
              <w:t>130.</w:t>
            </w:r>
            <w:r>
              <w:rPr>
                <w:rFonts w:ascii="Arial" w:hAnsi="Arial" w:cs="Arial"/>
                <w:b/>
                <w:bCs/>
                <w:color w:val="000000" w:themeColor="text1"/>
                <w:kern w:val="24"/>
                <w:sz w:val="20"/>
                <w:szCs w:val="20"/>
              </w:rPr>
              <w:t>7</w:t>
            </w:r>
            <w:r w:rsidRPr="00761203">
              <w:rPr>
                <w:rFonts w:ascii="Arial" w:hAnsi="Arial" w:cs="Arial"/>
                <w:b/>
                <w:bCs/>
                <w:color w:val="000000" w:themeColor="text1"/>
                <w:kern w:val="24"/>
                <w:sz w:val="20"/>
                <w:szCs w:val="20"/>
              </w:rPr>
              <w:t>4</w:t>
            </w:r>
          </w:p>
        </w:tc>
        <w:tc>
          <w:tcPr>
            <w:tcW w:w="1559" w:type="dxa"/>
            <w:vAlign w:val="bottom"/>
          </w:tcPr>
          <w:p w:rsidR="00476733" w:rsidRPr="00761203" w:rsidRDefault="00476733" w:rsidP="00C455B6">
            <w:pPr>
              <w:jc w:val="center"/>
              <w:rPr>
                <w:rFonts w:cs="Arial"/>
                <w:b/>
                <w:color w:val="000000"/>
                <w:sz w:val="20"/>
                <w:lang w:val="en-US"/>
              </w:rPr>
            </w:pPr>
            <w:r w:rsidRPr="00761203">
              <w:rPr>
                <w:rFonts w:cs="Arial"/>
                <w:b/>
                <w:color w:val="000000"/>
                <w:sz w:val="20"/>
                <w:lang w:val="en-US"/>
              </w:rPr>
              <w:t>5.1%</w:t>
            </w:r>
          </w:p>
        </w:tc>
        <w:tc>
          <w:tcPr>
            <w:tcW w:w="1465" w:type="dxa"/>
            <w:vAlign w:val="bottom"/>
          </w:tcPr>
          <w:p w:rsidR="00476733" w:rsidRPr="00761203" w:rsidRDefault="00476733" w:rsidP="00C455B6">
            <w:pPr>
              <w:jc w:val="center"/>
              <w:rPr>
                <w:rFonts w:cs="Arial"/>
                <w:b/>
                <w:sz w:val="20"/>
                <w:lang w:val="en-US"/>
              </w:rPr>
            </w:pPr>
            <w:r w:rsidRPr="00761203">
              <w:rPr>
                <w:rFonts w:cs="Arial"/>
                <w:b/>
                <w:sz w:val="20"/>
                <w:lang w:val="en-US"/>
              </w:rPr>
              <w:t>100%</w:t>
            </w:r>
          </w:p>
        </w:tc>
      </w:tr>
    </w:tbl>
    <w:p w:rsidR="00476733" w:rsidRPr="005343C6" w:rsidRDefault="00476733" w:rsidP="00C455B6">
      <w:pPr>
        <w:tabs>
          <w:tab w:val="left" w:pos="720"/>
          <w:tab w:val="left" w:pos="1440"/>
        </w:tabs>
        <w:ind w:left="1440"/>
        <w:rPr>
          <w:b/>
        </w:rPr>
      </w:pPr>
    </w:p>
    <w:p w:rsidR="00476733" w:rsidRPr="00C10773" w:rsidRDefault="00476733" w:rsidP="00C455B6">
      <w:pPr>
        <w:tabs>
          <w:tab w:val="left" w:pos="720"/>
          <w:tab w:val="left" w:pos="1440"/>
        </w:tabs>
        <w:ind w:left="1440"/>
      </w:pPr>
      <w:r w:rsidRPr="00C10773">
        <w:t>The above table also demonstrates where the City is spending its operating expenditure with a detailed explanation below.</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Payroll</w:t>
      </w:r>
    </w:p>
    <w:p w:rsidR="00476733" w:rsidRDefault="00476733" w:rsidP="00C455B6">
      <w:pPr>
        <w:ind w:left="1440"/>
      </w:pPr>
    </w:p>
    <w:p w:rsidR="00476733" w:rsidRDefault="00476733" w:rsidP="00C455B6">
      <w:pPr>
        <w:ind w:left="1440"/>
      </w:pPr>
      <w:r>
        <w:t xml:space="preserve">The City has budgeted for a 2.0% increase in salaries.  </w:t>
      </w:r>
      <w:r w:rsidRPr="00D4181B">
        <w:t xml:space="preserve">This will also provide for a number of new staff, in line with Council’s adopted Workforce Plan for Cockburn ARC.  </w:t>
      </w:r>
      <w:r w:rsidRPr="005B58DB">
        <w:t>There has been an offsetting reduction in the staff numbers within roads construction.</w:t>
      </w:r>
    </w:p>
    <w:p w:rsidR="00476733" w:rsidRDefault="00476733" w:rsidP="00C455B6">
      <w:pPr>
        <w:ind w:left="1440"/>
      </w:pPr>
    </w:p>
    <w:p w:rsidR="00476733" w:rsidRDefault="00476733" w:rsidP="00C455B6">
      <w:pPr>
        <w:ind w:left="1440"/>
      </w:pPr>
      <w:r>
        <w:t>Table 7 uses one particular ratio of residents to staff numbers, which demonstrates the efficiency of council staffing to service their respective community. For both 2014 and 2015 Cockburn was the second most efficient after the City of Rockingham out of the comparative Councils.</w:t>
      </w:r>
    </w:p>
    <w:p w:rsidR="00476733" w:rsidRDefault="00476733" w:rsidP="00C455B6">
      <w:pPr>
        <w:ind w:left="1440"/>
      </w:pPr>
    </w:p>
    <w:p w:rsidR="00C455B6" w:rsidRDefault="00C455B6" w:rsidP="00C455B6">
      <w:pPr>
        <w:ind w:left="1440"/>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lastRenderedPageBreak/>
        <w:t xml:space="preserve">Table </w:t>
      </w:r>
      <w:r>
        <w:rPr>
          <w:rFonts w:ascii="Bookman Old Style" w:hAnsi="Bookman Old Style"/>
          <w:i/>
          <w:sz w:val="20"/>
        </w:rPr>
        <w:t>7</w:t>
      </w:r>
      <w:r w:rsidRPr="00D90573">
        <w:rPr>
          <w:rFonts w:ascii="Bookman Old Style" w:hAnsi="Bookman Old Style"/>
          <w:i/>
          <w:sz w:val="20"/>
        </w:rPr>
        <w:t xml:space="preserve"> – Comparison on number of </w:t>
      </w:r>
      <w:r>
        <w:rPr>
          <w:rFonts w:ascii="Bookman Old Style" w:hAnsi="Bookman Old Style"/>
          <w:i/>
          <w:sz w:val="20"/>
        </w:rPr>
        <w:t>residents to staff</w:t>
      </w:r>
      <w:r w:rsidRPr="00D90573">
        <w:rPr>
          <w:rFonts w:ascii="Bookman Old Style" w:hAnsi="Bookman Old Style"/>
          <w:i/>
          <w:sz w:val="20"/>
        </w:rPr>
        <w:t xml:space="preserve"> 2015 and 2014</w:t>
      </w:r>
    </w:p>
    <w:tbl>
      <w:tblPr>
        <w:tblW w:w="7852" w:type="dxa"/>
        <w:tblInd w:w="1526"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328"/>
        <w:gridCol w:w="1172"/>
        <w:gridCol w:w="852"/>
        <w:gridCol w:w="1260"/>
        <w:gridCol w:w="1172"/>
        <w:gridCol w:w="808"/>
        <w:gridCol w:w="1260"/>
      </w:tblGrid>
      <w:tr w:rsidR="00476733" w:rsidRPr="00D90573" w:rsidTr="00C455B6">
        <w:trPr>
          <w:trHeight w:val="550"/>
        </w:trPr>
        <w:tc>
          <w:tcPr>
            <w:tcW w:w="1328" w:type="dxa"/>
            <w:tcBorders>
              <w:top w:val="double" w:sz="4" w:space="0" w:color="auto"/>
              <w:bottom w:val="double" w:sz="4" w:space="0" w:color="auto"/>
            </w:tcBorders>
            <w:shd w:val="clear" w:color="auto" w:fill="auto"/>
            <w:noWrap/>
            <w:vAlign w:val="center"/>
            <w:hideMark/>
          </w:tcPr>
          <w:p w:rsidR="00476733" w:rsidRPr="00D90573" w:rsidRDefault="00476733" w:rsidP="00C455B6">
            <w:pPr>
              <w:jc w:val="center"/>
              <w:rPr>
                <w:rFonts w:cs="Arial"/>
                <w:color w:val="000000"/>
                <w:sz w:val="20"/>
                <w:lang w:eastAsia="en-AU"/>
              </w:rPr>
            </w:pPr>
          </w:p>
        </w:tc>
        <w:tc>
          <w:tcPr>
            <w:tcW w:w="1172" w:type="dxa"/>
            <w:tcBorders>
              <w:top w:val="double" w:sz="4" w:space="0" w:color="auto"/>
              <w:bottom w:val="double" w:sz="4" w:space="0" w:color="auto"/>
            </w:tcBorders>
            <w:shd w:val="clear" w:color="auto" w:fill="auto"/>
            <w:vAlign w:val="center"/>
            <w:hideMark/>
          </w:tcPr>
          <w:p w:rsidR="00476733" w:rsidRPr="00D90573" w:rsidRDefault="00476733" w:rsidP="00C455B6">
            <w:pPr>
              <w:jc w:val="center"/>
              <w:rPr>
                <w:rFonts w:cs="Arial"/>
                <w:b/>
                <w:color w:val="000000"/>
                <w:sz w:val="20"/>
                <w:lang w:eastAsia="en-AU"/>
              </w:rPr>
            </w:pPr>
            <w:r w:rsidRPr="00D90573">
              <w:rPr>
                <w:rFonts w:cs="Arial"/>
                <w:b/>
                <w:color w:val="000000"/>
                <w:sz w:val="20"/>
                <w:lang w:eastAsia="en-AU"/>
              </w:rPr>
              <w:t xml:space="preserve">2015 Ratio: </w:t>
            </w:r>
            <w:r>
              <w:rPr>
                <w:rFonts w:cs="Arial"/>
                <w:b/>
                <w:color w:val="000000"/>
                <w:sz w:val="20"/>
                <w:lang w:eastAsia="en-AU"/>
              </w:rPr>
              <w:t xml:space="preserve">Residents to </w:t>
            </w:r>
            <w:r w:rsidRPr="00D90573">
              <w:rPr>
                <w:rFonts w:cs="Arial"/>
                <w:b/>
                <w:color w:val="000000"/>
                <w:sz w:val="20"/>
                <w:lang w:eastAsia="en-AU"/>
              </w:rPr>
              <w:t>Staff</w:t>
            </w:r>
          </w:p>
        </w:tc>
        <w:tc>
          <w:tcPr>
            <w:tcW w:w="852" w:type="dxa"/>
            <w:tcBorders>
              <w:top w:val="double" w:sz="4" w:space="0" w:color="auto"/>
              <w:bottom w:val="double" w:sz="4" w:space="0" w:color="auto"/>
            </w:tcBorders>
            <w:shd w:val="clear" w:color="auto" w:fill="auto"/>
            <w:vAlign w:val="center"/>
            <w:hideMark/>
          </w:tcPr>
          <w:p w:rsidR="00476733" w:rsidRPr="00D90573" w:rsidRDefault="00476733" w:rsidP="00C455B6">
            <w:pPr>
              <w:jc w:val="center"/>
              <w:rPr>
                <w:rFonts w:cs="Arial"/>
                <w:b/>
                <w:color w:val="000000"/>
                <w:sz w:val="20"/>
                <w:lang w:eastAsia="en-AU"/>
              </w:rPr>
            </w:pPr>
            <w:r w:rsidRPr="00D90573">
              <w:rPr>
                <w:rFonts w:cs="Arial"/>
                <w:b/>
                <w:color w:val="000000"/>
                <w:sz w:val="20"/>
                <w:lang w:eastAsia="en-AU"/>
              </w:rPr>
              <w:t>2015 FTE Staff</w:t>
            </w:r>
          </w:p>
        </w:tc>
        <w:tc>
          <w:tcPr>
            <w:tcW w:w="1260" w:type="dxa"/>
            <w:tcBorders>
              <w:top w:val="double" w:sz="4" w:space="0" w:color="auto"/>
              <w:bottom w:val="double" w:sz="4" w:space="0" w:color="auto"/>
            </w:tcBorders>
            <w:shd w:val="clear" w:color="auto" w:fill="auto"/>
            <w:vAlign w:val="center"/>
            <w:hideMark/>
          </w:tcPr>
          <w:p w:rsidR="00476733" w:rsidRPr="00D90573" w:rsidRDefault="00476733" w:rsidP="00C455B6">
            <w:pPr>
              <w:jc w:val="center"/>
              <w:rPr>
                <w:rFonts w:cs="Arial"/>
                <w:b/>
                <w:color w:val="000000"/>
                <w:sz w:val="20"/>
                <w:lang w:eastAsia="en-AU"/>
              </w:rPr>
            </w:pPr>
            <w:r w:rsidRPr="00D90573">
              <w:rPr>
                <w:rFonts w:cs="Arial"/>
                <w:b/>
                <w:color w:val="000000"/>
                <w:sz w:val="20"/>
                <w:lang w:eastAsia="en-AU"/>
              </w:rPr>
              <w:t>2015 Population</w:t>
            </w:r>
          </w:p>
        </w:tc>
        <w:tc>
          <w:tcPr>
            <w:tcW w:w="1172" w:type="dxa"/>
            <w:tcBorders>
              <w:top w:val="double" w:sz="4" w:space="0" w:color="auto"/>
              <w:bottom w:val="double" w:sz="4" w:space="0" w:color="auto"/>
            </w:tcBorders>
            <w:shd w:val="clear" w:color="auto" w:fill="auto"/>
            <w:vAlign w:val="center"/>
            <w:hideMark/>
          </w:tcPr>
          <w:p w:rsidR="00476733" w:rsidRPr="00D90573" w:rsidRDefault="00476733" w:rsidP="00C455B6">
            <w:pPr>
              <w:jc w:val="center"/>
              <w:rPr>
                <w:rFonts w:cs="Arial"/>
                <w:b/>
                <w:color w:val="000000"/>
                <w:sz w:val="20"/>
                <w:lang w:eastAsia="en-AU"/>
              </w:rPr>
            </w:pPr>
            <w:r w:rsidRPr="00D90573">
              <w:rPr>
                <w:rFonts w:cs="Arial"/>
                <w:b/>
                <w:color w:val="000000"/>
                <w:sz w:val="20"/>
                <w:lang w:eastAsia="en-AU"/>
              </w:rPr>
              <w:t xml:space="preserve">2014 Ratio: </w:t>
            </w:r>
            <w:r>
              <w:rPr>
                <w:rFonts w:cs="Arial"/>
                <w:b/>
                <w:color w:val="000000"/>
                <w:sz w:val="20"/>
                <w:lang w:eastAsia="en-AU"/>
              </w:rPr>
              <w:t xml:space="preserve">Resident to </w:t>
            </w:r>
            <w:r w:rsidRPr="00D90573">
              <w:rPr>
                <w:rFonts w:cs="Arial"/>
                <w:b/>
                <w:color w:val="000000"/>
                <w:sz w:val="20"/>
                <w:lang w:eastAsia="en-AU"/>
              </w:rPr>
              <w:t>Staff</w:t>
            </w:r>
          </w:p>
        </w:tc>
        <w:tc>
          <w:tcPr>
            <w:tcW w:w="808" w:type="dxa"/>
            <w:tcBorders>
              <w:top w:val="double" w:sz="4" w:space="0" w:color="auto"/>
              <w:bottom w:val="double" w:sz="4" w:space="0" w:color="auto"/>
            </w:tcBorders>
            <w:shd w:val="clear" w:color="auto" w:fill="auto"/>
            <w:vAlign w:val="center"/>
            <w:hideMark/>
          </w:tcPr>
          <w:p w:rsidR="00476733" w:rsidRPr="00D90573" w:rsidRDefault="00476733" w:rsidP="00C455B6">
            <w:pPr>
              <w:jc w:val="center"/>
              <w:rPr>
                <w:rFonts w:cs="Arial"/>
                <w:b/>
                <w:color w:val="000000"/>
                <w:sz w:val="20"/>
                <w:lang w:eastAsia="en-AU"/>
              </w:rPr>
            </w:pPr>
            <w:r w:rsidRPr="00D90573">
              <w:rPr>
                <w:rFonts w:cs="Arial"/>
                <w:b/>
                <w:color w:val="000000"/>
                <w:sz w:val="20"/>
                <w:lang w:eastAsia="en-AU"/>
              </w:rPr>
              <w:t>2014 FTE Staff</w:t>
            </w:r>
          </w:p>
        </w:tc>
        <w:tc>
          <w:tcPr>
            <w:tcW w:w="1260" w:type="dxa"/>
            <w:tcBorders>
              <w:top w:val="double" w:sz="4" w:space="0" w:color="auto"/>
              <w:bottom w:val="double" w:sz="4" w:space="0" w:color="auto"/>
            </w:tcBorders>
            <w:shd w:val="clear" w:color="auto" w:fill="auto"/>
            <w:vAlign w:val="center"/>
            <w:hideMark/>
          </w:tcPr>
          <w:p w:rsidR="00476733" w:rsidRPr="00D90573" w:rsidRDefault="00476733" w:rsidP="00C455B6">
            <w:pPr>
              <w:jc w:val="center"/>
              <w:rPr>
                <w:rFonts w:cs="Arial"/>
                <w:b/>
                <w:color w:val="000000"/>
                <w:sz w:val="20"/>
                <w:lang w:eastAsia="en-AU"/>
              </w:rPr>
            </w:pPr>
            <w:r w:rsidRPr="00D90573">
              <w:rPr>
                <w:rFonts w:cs="Arial"/>
                <w:b/>
                <w:color w:val="000000"/>
                <w:sz w:val="20"/>
                <w:lang w:eastAsia="en-AU"/>
              </w:rPr>
              <w:t>2014 Population</w:t>
            </w:r>
          </w:p>
        </w:tc>
      </w:tr>
      <w:tr w:rsidR="00476733" w:rsidRPr="00D90573" w:rsidTr="00C455B6">
        <w:trPr>
          <w:trHeight w:val="300"/>
        </w:trPr>
        <w:tc>
          <w:tcPr>
            <w:tcW w:w="1328" w:type="dxa"/>
            <w:tcBorders>
              <w:top w:val="double" w:sz="4" w:space="0" w:color="auto"/>
            </w:tcBorders>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Cockburn</w:t>
            </w:r>
          </w:p>
        </w:tc>
        <w:tc>
          <w:tcPr>
            <w:tcW w:w="1172" w:type="dxa"/>
            <w:tcBorders>
              <w:top w:val="double" w:sz="4" w:space="0" w:color="auto"/>
            </w:tcBorders>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 xml:space="preserve">246 </w:t>
            </w:r>
          </w:p>
        </w:tc>
        <w:tc>
          <w:tcPr>
            <w:tcW w:w="852" w:type="dxa"/>
            <w:tcBorders>
              <w:top w:val="double" w:sz="4" w:space="0" w:color="auto"/>
            </w:tcBorders>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431</w:t>
            </w:r>
          </w:p>
        </w:tc>
        <w:tc>
          <w:tcPr>
            <w:tcW w:w="1260" w:type="dxa"/>
            <w:tcBorders>
              <w:top w:val="double" w:sz="4" w:space="0" w:color="auto"/>
            </w:tcBorders>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105,998</w:t>
            </w:r>
          </w:p>
        </w:tc>
        <w:tc>
          <w:tcPr>
            <w:tcW w:w="1172" w:type="dxa"/>
            <w:tcBorders>
              <w:top w:val="double" w:sz="4" w:space="0" w:color="auto"/>
            </w:tcBorders>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233</w:t>
            </w:r>
          </w:p>
        </w:tc>
        <w:tc>
          <w:tcPr>
            <w:tcW w:w="808" w:type="dxa"/>
            <w:tcBorders>
              <w:top w:val="double" w:sz="4" w:space="0" w:color="auto"/>
            </w:tcBorders>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438</w:t>
            </w:r>
          </w:p>
        </w:tc>
        <w:tc>
          <w:tcPr>
            <w:tcW w:w="1260" w:type="dxa"/>
            <w:tcBorders>
              <w:top w:val="double" w:sz="4" w:space="0" w:color="auto"/>
            </w:tcBorders>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101,973</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Melville</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 xml:space="preserve">225 </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476</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107,239</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221</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481</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106,336</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Fremantle</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79</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392</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30,883</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79</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384</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30,321</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Kwinana</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 xml:space="preserve">160 </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237</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37,834</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157</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223</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35,000</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Rockingham</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 xml:space="preserve">257 </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484</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124,245</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260</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462</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120,275</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Armadale</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 xml:space="preserve">238 </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345</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82,267</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227</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330</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75,000</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Wanneroo</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 xml:space="preserve">220 </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853</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188,000</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212</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848</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179,813</w:t>
            </w:r>
          </w:p>
        </w:tc>
      </w:tr>
      <w:tr w:rsidR="00476733" w:rsidRPr="00D90573" w:rsidTr="00C455B6">
        <w:trPr>
          <w:trHeight w:val="300"/>
        </w:trPr>
        <w:tc>
          <w:tcPr>
            <w:tcW w:w="1328" w:type="dxa"/>
            <w:shd w:val="clear" w:color="auto" w:fill="auto"/>
            <w:noWrap/>
            <w:vAlign w:val="bottom"/>
            <w:hideMark/>
          </w:tcPr>
          <w:p w:rsidR="00476733" w:rsidRPr="00D90573" w:rsidRDefault="00476733" w:rsidP="00C455B6">
            <w:pPr>
              <w:jc w:val="left"/>
              <w:rPr>
                <w:rFonts w:cs="Arial"/>
                <w:color w:val="000000"/>
                <w:sz w:val="20"/>
                <w:lang w:eastAsia="en-AU"/>
              </w:rPr>
            </w:pPr>
            <w:r w:rsidRPr="00D90573">
              <w:rPr>
                <w:rFonts w:cs="Arial"/>
                <w:color w:val="000000"/>
                <w:sz w:val="20"/>
                <w:lang w:eastAsia="en-AU"/>
              </w:rPr>
              <w:t>Swan</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207</w:t>
            </w:r>
          </w:p>
        </w:tc>
        <w:tc>
          <w:tcPr>
            <w:tcW w:w="85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629</w:t>
            </w:r>
          </w:p>
        </w:tc>
        <w:tc>
          <w:tcPr>
            <w:tcW w:w="1260" w:type="dxa"/>
            <w:shd w:val="clear" w:color="auto" w:fill="auto"/>
            <w:noWrap/>
            <w:vAlign w:val="bottom"/>
            <w:hideMark/>
          </w:tcPr>
          <w:p w:rsidR="00476733" w:rsidRPr="00D90573" w:rsidRDefault="00476733" w:rsidP="00C455B6">
            <w:pPr>
              <w:tabs>
                <w:tab w:val="right" w:pos="792"/>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130,013</w:t>
            </w:r>
          </w:p>
        </w:tc>
        <w:tc>
          <w:tcPr>
            <w:tcW w:w="1172"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203</w:t>
            </w:r>
          </w:p>
        </w:tc>
        <w:tc>
          <w:tcPr>
            <w:tcW w:w="808" w:type="dxa"/>
            <w:shd w:val="clear" w:color="auto" w:fill="auto"/>
            <w:noWrap/>
            <w:vAlign w:val="bottom"/>
            <w:hideMark/>
          </w:tcPr>
          <w:p w:rsidR="00476733" w:rsidRPr="00D90573" w:rsidRDefault="00476733" w:rsidP="00C455B6">
            <w:pPr>
              <w:jc w:val="center"/>
              <w:rPr>
                <w:rFonts w:cs="Arial"/>
                <w:color w:val="000000"/>
                <w:sz w:val="20"/>
                <w:lang w:eastAsia="en-AU"/>
              </w:rPr>
            </w:pPr>
            <w:r w:rsidRPr="00D90573">
              <w:rPr>
                <w:rFonts w:cs="Arial"/>
                <w:color w:val="000000"/>
                <w:sz w:val="20"/>
                <w:lang w:eastAsia="en-AU"/>
              </w:rPr>
              <w:t>610</w:t>
            </w:r>
          </w:p>
        </w:tc>
        <w:tc>
          <w:tcPr>
            <w:tcW w:w="1260" w:type="dxa"/>
            <w:shd w:val="clear" w:color="auto" w:fill="auto"/>
            <w:noWrap/>
            <w:vAlign w:val="bottom"/>
            <w:hideMark/>
          </w:tcPr>
          <w:p w:rsidR="00476733" w:rsidRPr="00D90573" w:rsidRDefault="00476733" w:rsidP="00C455B6">
            <w:pPr>
              <w:tabs>
                <w:tab w:val="right" w:pos="806"/>
              </w:tabs>
              <w:jc w:val="left"/>
              <w:rPr>
                <w:rFonts w:cs="Arial"/>
                <w:color w:val="000000"/>
                <w:sz w:val="20"/>
                <w:lang w:eastAsia="en-AU"/>
              </w:rPr>
            </w:pPr>
            <w:r>
              <w:rPr>
                <w:rFonts w:cs="Arial"/>
                <w:color w:val="000000"/>
                <w:sz w:val="20"/>
                <w:lang w:eastAsia="en-AU"/>
              </w:rPr>
              <w:tab/>
            </w:r>
            <w:r w:rsidRPr="00D90573">
              <w:rPr>
                <w:rFonts w:cs="Arial"/>
                <w:color w:val="000000"/>
                <w:sz w:val="20"/>
                <w:lang w:eastAsia="en-AU"/>
              </w:rPr>
              <w:t>124,042</w:t>
            </w:r>
          </w:p>
        </w:tc>
      </w:tr>
    </w:tbl>
    <w:p w:rsidR="00476733" w:rsidRPr="00360F32" w:rsidRDefault="00476733" w:rsidP="00C455B6">
      <w:pPr>
        <w:ind w:left="1440"/>
        <w:rPr>
          <w:rFonts w:ascii="Bookman Old Style" w:hAnsi="Bookman Old Style"/>
          <w:i/>
          <w:sz w:val="20"/>
        </w:rPr>
      </w:pPr>
      <w:r w:rsidRPr="00360F32">
        <w:rPr>
          <w:rFonts w:ascii="Bookman Old Style" w:hAnsi="Bookman Old Style"/>
          <w:i/>
          <w:sz w:val="20"/>
        </w:rPr>
        <w:t xml:space="preserve">Source: Staff 2014/15 annual reports. Population </w:t>
      </w:r>
      <w:r>
        <w:rPr>
          <w:rFonts w:ascii="Bookman Old Style" w:hAnsi="Bookman Old Style"/>
          <w:i/>
          <w:sz w:val="20"/>
        </w:rPr>
        <w:t>ABS Regional population statistics</w:t>
      </w:r>
    </w:p>
    <w:p w:rsidR="00476733" w:rsidRDefault="00476733" w:rsidP="00C455B6">
      <w:pPr>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Materials and Contract</w:t>
      </w:r>
    </w:p>
    <w:p w:rsidR="00476733" w:rsidRDefault="00476733" w:rsidP="00C455B6">
      <w:pPr>
        <w:ind w:left="1440"/>
      </w:pPr>
    </w:p>
    <w:p w:rsidR="00476733" w:rsidRDefault="00476733" w:rsidP="00C455B6">
      <w:pPr>
        <w:ind w:left="1440"/>
      </w:pPr>
      <w:r w:rsidRPr="00901117">
        <w:t xml:space="preserve">Aside from </w:t>
      </w:r>
      <w:r>
        <w:t>employee</w:t>
      </w:r>
      <w:r w:rsidRPr="00901117">
        <w:t xml:space="preserve"> and related costs, </w:t>
      </w:r>
      <w:r>
        <w:t>m</w:t>
      </w:r>
      <w:r w:rsidRPr="00901117">
        <w:t xml:space="preserve">aterials and </w:t>
      </w:r>
      <w:r>
        <w:t>c</w:t>
      </w:r>
      <w:r w:rsidRPr="00901117">
        <w:t xml:space="preserve">ontracts is the City’s largest recurrent operating expenditure item.  The following items form over 50% of the expenditure for 2016/17.  </w:t>
      </w:r>
      <w:r>
        <w:t>W</w:t>
      </w:r>
      <w:r w:rsidRPr="00901117">
        <w:t xml:space="preserve">aste </w:t>
      </w:r>
      <w:r>
        <w:t>c</w:t>
      </w:r>
      <w:r w:rsidRPr="00901117">
        <w:t xml:space="preserve">ollection $8.79m, SMRC </w:t>
      </w:r>
      <w:r>
        <w:t>l</w:t>
      </w:r>
      <w:r w:rsidRPr="00901117">
        <w:t xml:space="preserve">oan </w:t>
      </w:r>
      <w:r>
        <w:t>r</w:t>
      </w:r>
      <w:r w:rsidRPr="00901117">
        <w:t xml:space="preserve">epayment $1.65m, </w:t>
      </w:r>
      <w:r>
        <w:t>p</w:t>
      </w:r>
      <w:r w:rsidRPr="00901117">
        <w:t xml:space="preserve">arks &amp; playgrounds $1.48m, street maintenance $1.56m, </w:t>
      </w:r>
      <w:r>
        <w:t>c</w:t>
      </w:r>
      <w:r w:rsidRPr="00901117">
        <w:t xml:space="preserve">are </w:t>
      </w:r>
      <w:r>
        <w:t>g</w:t>
      </w:r>
      <w:r w:rsidRPr="00901117">
        <w:t xml:space="preserve">iver </w:t>
      </w:r>
      <w:r>
        <w:t>p</w:t>
      </w:r>
      <w:r w:rsidRPr="00901117">
        <w:t>ayments 1.04m, Co-Safe $2.1m, equipment</w:t>
      </w:r>
      <w:r>
        <w:t xml:space="preserve"> leases $0.66m, valuations for rates $0.55m, legal fees $0.42m, carnival of events $0.7m, sportsgrounds $0.6m, services $2.13m.</w:t>
      </w:r>
    </w:p>
    <w:p w:rsidR="00476733" w:rsidRDefault="00476733" w:rsidP="00C455B6">
      <w:pPr>
        <w:ind w:left="1440"/>
      </w:pPr>
    </w:p>
    <w:p w:rsidR="00476733" w:rsidRDefault="00476733" w:rsidP="00C455B6">
      <w:pPr>
        <w:ind w:left="1440"/>
      </w:pPr>
      <w:r>
        <w:t>Over 80% of the City’s materials and contracts expenditure is subjected to competitive procurement practices. These include both formal tender and quotation processes, governed by legislation and Council policy. This percentage has seen an increasing trend over recent years due to a concerted effort by the City to drive better value for money from its annual budget.</w:t>
      </w:r>
    </w:p>
    <w:p w:rsidR="00476733" w:rsidRDefault="00476733" w:rsidP="00C455B6">
      <w:pPr>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Insurance</w:t>
      </w:r>
    </w:p>
    <w:p w:rsidR="00476733" w:rsidRPr="00BF78EA" w:rsidRDefault="00476733" w:rsidP="00C455B6">
      <w:pPr>
        <w:ind w:left="1440"/>
      </w:pPr>
    </w:p>
    <w:p w:rsidR="00476733" w:rsidRDefault="00476733" w:rsidP="00C455B6">
      <w:pPr>
        <w:ind w:left="1440"/>
      </w:pPr>
      <w:r>
        <w:t>The City, like all local governments in WA, is a member of the Local Government Insurance Scheme (</w:t>
      </w:r>
      <w:proofErr w:type="spellStart"/>
      <w:r>
        <w:t>LGIS</w:t>
      </w:r>
      <w:proofErr w:type="spellEnd"/>
      <w:r>
        <w:t xml:space="preserve">) – a cooperative insurance scheme. This Scheme covers workers compensation insurance, property and public liability insurance. In effect, Council self-insures through the </w:t>
      </w:r>
      <w:proofErr w:type="spellStart"/>
      <w:r>
        <w:t>LGIS</w:t>
      </w:r>
      <w:proofErr w:type="spellEnd"/>
      <w:r>
        <w:t xml:space="preserve">. Insurance for motor vehicles, councillor and officer liability (similar to Directors and Officers Liability insurance), travel insurance plus others insurances are sourced by the </w:t>
      </w:r>
      <w:proofErr w:type="spellStart"/>
      <w:r>
        <w:t>LGIS</w:t>
      </w:r>
      <w:proofErr w:type="spellEnd"/>
      <w:r>
        <w:t xml:space="preserve"> from external insurance providers. Motor vehicle insurance is of a significant quantum that </w:t>
      </w:r>
      <w:proofErr w:type="spellStart"/>
      <w:r>
        <w:t>LGIS</w:t>
      </w:r>
      <w:proofErr w:type="spellEnd"/>
      <w:r>
        <w:t xml:space="preserve"> tenders to the general Insurance market each year to ensure Council receives a competitive pricing outcome.</w:t>
      </w:r>
    </w:p>
    <w:p w:rsidR="00476733" w:rsidRDefault="00476733" w:rsidP="00C455B6">
      <w:pPr>
        <w:ind w:left="1440"/>
      </w:pPr>
    </w:p>
    <w:p w:rsidR="00476733" w:rsidRDefault="00476733" w:rsidP="00C455B6">
      <w:pPr>
        <w:ind w:left="1440"/>
      </w:pPr>
      <w:r>
        <w:t xml:space="preserve">Overall, insurance premiums are expected to increase by 5% to $2.24m from $2.13m in 2016/17. Workers compensation premium will increase in line with the overall rise in council payroll and public liability </w:t>
      </w:r>
      <w:r>
        <w:lastRenderedPageBreak/>
        <w:t xml:space="preserve">will be similar to 2015/16. Property insurance will increase by 5% due to a firmer market and the impact of Cockburn ARC (for part of the year from practical completion in March 2017 (as per contract with Brookfield Multiplex). </w:t>
      </w:r>
    </w:p>
    <w:p w:rsidR="00476733" w:rsidRDefault="00476733" w:rsidP="00C455B6">
      <w:pPr>
        <w:ind w:left="1440"/>
      </w:pPr>
    </w:p>
    <w:p w:rsidR="00476733" w:rsidRDefault="00476733" w:rsidP="00C455B6">
      <w:pPr>
        <w:tabs>
          <w:tab w:val="left" w:pos="720"/>
          <w:tab w:val="left" w:pos="1440"/>
        </w:tabs>
        <w:ind w:left="1440"/>
      </w:pPr>
      <w:r>
        <w:t xml:space="preserve">In addition, the City has an active program of regular revaluation of assets so as to ensure the City’s buildings are not under-insured.  </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The City banks dividends received through the </w:t>
      </w:r>
      <w:proofErr w:type="spellStart"/>
      <w:r>
        <w:t>LGIS</w:t>
      </w:r>
      <w:proofErr w:type="spellEnd"/>
      <w:r>
        <w:t xml:space="preserve"> self-insurance scheme to its Insurance Reserve in order to cover small claims internally and smooth out annual premiums when necessary.</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Utilities</w:t>
      </w:r>
    </w:p>
    <w:p w:rsidR="00476733" w:rsidRDefault="00476733" w:rsidP="00C455B6">
      <w:pPr>
        <w:ind w:left="1440"/>
      </w:pPr>
    </w:p>
    <w:p w:rsidR="00476733" w:rsidRDefault="00476733" w:rsidP="00C455B6">
      <w:pPr>
        <w:ind w:left="1440"/>
      </w:pPr>
      <w:r>
        <w:t xml:space="preserve">This item covers expenditures for electricity, gas, water and telecommunications. </w:t>
      </w:r>
    </w:p>
    <w:p w:rsidR="00476733" w:rsidRDefault="00476733" w:rsidP="00C455B6">
      <w:pPr>
        <w:ind w:left="1440"/>
      </w:pPr>
    </w:p>
    <w:p w:rsidR="00476733" w:rsidRDefault="00476733" w:rsidP="00C455B6">
      <w:pPr>
        <w:ind w:left="1440"/>
      </w:pPr>
      <w:r>
        <w:t xml:space="preserve">Electricity is consumed by the City in two ways.  Firstly, general power consumption for buildings and associated facilities and secondly, electricity consumption for street lighting. The City pays </w:t>
      </w:r>
      <w:r w:rsidRPr="00761203">
        <w:t>for over 12,800</w:t>
      </w:r>
      <w:r>
        <w:t xml:space="preserve"> street lights, which will cost $2.5m in 2016/17.  The State budget for 2016/17 flagged an increase of 2.5% for 2016/17.  </w:t>
      </w:r>
    </w:p>
    <w:p w:rsidR="00476733" w:rsidRDefault="00476733" w:rsidP="00C455B6">
      <w:pPr>
        <w:ind w:left="1440"/>
      </w:pPr>
    </w:p>
    <w:p w:rsidR="00476733" w:rsidRDefault="00476733" w:rsidP="00C455B6">
      <w:pPr>
        <w:ind w:left="1440"/>
      </w:pPr>
      <w:r>
        <w:t>The balance of electricity will be expended on buildings and associated infrastructure. A number of the Council’s facilities are subject to a two year fixed price contract and the balance subject to increases announced in the State Government budget of 3%. No significant cost increases are expected other than for consumption especially for the new Cockburn ARC facility.</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Other utilities are expected to increase by 4% apart from telecoms which has no increase.</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Other Expenses</w:t>
      </w:r>
    </w:p>
    <w:p w:rsidR="00476733" w:rsidRDefault="00476733" w:rsidP="00C455B6">
      <w:pPr>
        <w:ind w:left="1440"/>
      </w:pPr>
    </w:p>
    <w:p w:rsidR="00476733" w:rsidRDefault="00476733" w:rsidP="00C455B6">
      <w:pPr>
        <w:ind w:left="1440"/>
      </w:pPr>
      <w:r>
        <w:t>This item of expenditure covers a range of sundry expenses such as the State Government’s Landfill Levy of $3.8m, which has risen from $55 per tonne to $60 per tonne from 1 July 2016, fuel $0.85m, grants and donations of $1.31m, operating contribution to the SMRC of $0.336m and levy payments to parents of $0.5m (fully funded from the Federal Government).</w:t>
      </w:r>
    </w:p>
    <w:p w:rsidR="00476733" w:rsidRDefault="00476733" w:rsidP="00C455B6">
      <w:pPr>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Depreciation</w:t>
      </w:r>
    </w:p>
    <w:p w:rsidR="00476733" w:rsidRPr="00404387" w:rsidRDefault="00476733" w:rsidP="00C455B6">
      <w:pPr>
        <w:ind w:left="1440"/>
        <w:rPr>
          <w:sz w:val="18"/>
        </w:rPr>
      </w:pPr>
    </w:p>
    <w:p w:rsidR="00476733" w:rsidRDefault="00476733" w:rsidP="00C455B6">
      <w:pPr>
        <w:ind w:left="1440"/>
      </w:pPr>
      <w:r>
        <w:t xml:space="preserve">The City has estimated $27.54m of depreciation for 2016/17, which is on par with the amount for 2015/16. The City effectively cash backs its depreciation, as demonstrated by the $5.17m positive operating result in the Statement of Comprehensive Income. By being fiscally responsible and cash backing the depreciation, the City is able to use the cash generated by this item to refurbish current assets in addition </w:t>
      </w:r>
      <w:r>
        <w:lastRenderedPageBreak/>
        <w:t>to construct new assets. Council has been briefed on a plan to spend up to 80% of the cash produced from depreciation to refurbish assets. This plan will take five to seven years to move from the current 65% of depreciation cash expended on the capital refurbishment program.  This plan has been designed so as to provide a greater life for existing City assets.</w:t>
      </w:r>
    </w:p>
    <w:p w:rsidR="00476733" w:rsidRPr="00404387" w:rsidRDefault="00476733" w:rsidP="00C455B6">
      <w:pPr>
        <w:ind w:left="1440"/>
        <w:rPr>
          <w:sz w:val="20"/>
        </w:rPr>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Int</w:t>
      </w:r>
      <w:r>
        <w:rPr>
          <w:rFonts w:ascii="Bookman Old Style" w:hAnsi="Bookman Old Style"/>
          <w:i/>
        </w:rPr>
        <w:t xml:space="preserve">erest Expense </w:t>
      </w:r>
    </w:p>
    <w:p w:rsidR="00476733" w:rsidRDefault="00476733" w:rsidP="00C455B6">
      <w:pPr>
        <w:tabs>
          <w:tab w:val="left" w:pos="720"/>
          <w:tab w:val="left" w:pos="1440"/>
        </w:tabs>
        <w:ind w:left="1440"/>
        <w:rPr>
          <w:szCs w:val="24"/>
        </w:rPr>
      </w:pPr>
    </w:p>
    <w:p w:rsidR="00476733" w:rsidRDefault="00476733" w:rsidP="00C455B6">
      <w:pPr>
        <w:tabs>
          <w:tab w:val="left" w:pos="720"/>
          <w:tab w:val="left" w:pos="1440"/>
        </w:tabs>
        <w:ind w:left="1440"/>
        <w:rPr>
          <w:szCs w:val="24"/>
        </w:rPr>
      </w:pPr>
      <w:r w:rsidRPr="00E07498">
        <w:rPr>
          <w:szCs w:val="24"/>
        </w:rPr>
        <w:t xml:space="preserve">The City will be required to pay interest in </w:t>
      </w:r>
      <w:r>
        <w:rPr>
          <w:szCs w:val="24"/>
        </w:rPr>
        <w:t>2016/17</w:t>
      </w:r>
      <w:r w:rsidRPr="00E07498">
        <w:rPr>
          <w:szCs w:val="24"/>
        </w:rPr>
        <w:t xml:space="preserve"> for two loans covering </w:t>
      </w:r>
      <w:r>
        <w:rPr>
          <w:szCs w:val="24"/>
        </w:rPr>
        <w:t>Cockburn ARC</w:t>
      </w:r>
      <w:r w:rsidRPr="00E07498">
        <w:rPr>
          <w:szCs w:val="24"/>
        </w:rPr>
        <w:t xml:space="preserve"> p</w:t>
      </w:r>
      <w:r>
        <w:rPr>
          <w:szCs w:val="24"/>
        </w:rPr>
        <w:t>lus the Emergency Services Facility. The former</w:t>
      </w:r>
      <w:r w:rsidRPr="00E07498">
        <w:rPr>
          <w:szCs w:val="24"/>
        </w:rPr>
        <w:t xml:space="preserve"> loan </w:t>
      </w:r>
      <w:r>
        <w:rPr>
          <w:szCs w:val="24"/>
        </w:rPr>
        <w:t xml:space="preserve">interest expense </w:t>
      </w:r>
      <w:r w:rsidRPr="00E07498">
        <w:rPr>
          <w:szCs w:val="24"/>
        </w:rPr>
        <w:t xml:space="preserve">will be covered by </w:t>
      </w:r>
      <w:r>
        <w:rPr>
          <w:szCs w:val="24"/>
        </w:rPr>
        <w:t xml:space="preserve">developer contributions. </w:t>
      </w:r>
      <w:r w:rsidRPr="00E07498">
        <w:rPr>
          <w:szCs w:val="24"/>
        </w:rPr>
        <w:t xml:space="preserve">The latter loan will be funded by </w:t>
      </w:r>
      <w:r>
        <w:rPr>
          <w:szCs w:val="24"/>
        </w:rPr>
        <w:t>DFES</w:t>
      </w:r>
      <w:r w:rsidRPr="00E07498">
        <w:rPr>
          <w:szCs w:val="24"/>
        </w:rPr>
        <w:t xml:space="preserve">. </w:t>
      </w:r>
      <w:r>
        <w:rPr>
          <w:szCs w:val="24"/>
        </w:rPr>
        <w:t xml:space="preserve"> </w:t>
      </w:r>
      <w:r w:rsidRPr="00E07498">
        <w:rPr>
          <w:szCs w:val="24"/>
        </w:rPr>
        <w:t xml:space="preserve">The </w:t>
      </w:r>
      <w:r>
        <w:rPr>
          <w:szCs w:val="24"/>
        </w:rPr>
        <w:t>total cost for this year is $0.93</w:t>
      </w:r>
      <w:r w:rsidRPr="00E07498">
        <w:rPr>
          <w:szCs w:val="24"/>
        </w:rPr>
        <w:t>m</w:t>
      </w:r>
      <w:r>
        <w:rPr>
          <w:szCs w:val="24"/>
        </w:rPr>
        <w:t xml:space="preserve">. </w:t>
      </w:r>
    </w:p>
    <w:p w:rsidR="00476733" w:rsidRDefault="00476733" w:rsidP="00C455B6">
      <w:pPr>
        <w:tabs>
          <w:tab w:val="left" w:pos="720"/>
          <w:tab w:val="left" w:pos="1440"/>
        </w:tabs>
        <w:ind w:left="1440"/>
        <w:rPr>
          <w:szCs w:val="24"/>
        </w:rPr>
      </w:pPr>
    </w:p>
    <w:p w:rsidR="00476733" w:rsidRDefault="00476733" w:rsidP="00C455B6">
      <w:pPr>
        <w:tabs>
          <w:tab w:val="left" w:pos="720"/>
          <w:tab w:val="left" w:pos="1440"/>
        </w:tabs>
        <w:ind w:left="1440"/>
        <w:rPr>
          <w:szCs w:val="24"/>
        </w:rPr>
      </w:pPr>
      <w:r>
        <w:rPr>
          <w:szCs w:val="24"/>
        </w:rPr>
        <w:t xml:space="preserve">The Council had intentionally intended to borrow in 2014/15 for the construction of the Cockburn ARC at </w:t>
      </w:r>
      <w:proofErr w:type="spellStart"/>
      <w:r>
        <w:rPr>
          <w:szCs w:val="24"/>
        </w:rPr>
        <w:t>CCW</w:t>
      </w:r>
      <w:proofErr w:type="spellEnd"/>
      <w:r>
        <w:rPr>
          <w:szCs w:val="24"/>
        </w:rPr>
        <w:t xml:space="preserve"> but due to delays in finalising the building contract no borrowings have been required until 2015/16. </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rPr>
          <w:szCs w:val="24"/>
        </w:rPr>
        <w:t xml:space="preserve">Council has since borrowed $25m in line with the Long Term Financial Plan for the Cockburn ARC project, with </w:t>
      </w:r>
      <w:r>
        <w:t>the loan drawn down in June 2016 and to be repaid over ten years using DCP13 contributions.</w:t>
      </w:r>
    </w:p>
    <w:p w:rsidR="00476733" w:rsidRDefault="00476733" w:rsidP="00C455B6">
      <w:pPr>
        <w:spacing w:line="0" w:lineRule="atLeast"/>
        <w:rPr>
          <w:rFonts w:cs="Arial"/>
          <w:szCs w:val="24"/>
          <w:u w:val="single"/>
        </w:rPr>
      </w:pPr>
    </w:p>
    <w:p w:rsidR="00476733" w:rsidRPr="00C10773" w:rsidRDefault="00476733" w:rsidP="00C455B6">
      <w:pPr>
        <w:spacing w:line="0" w:lineRule="atLeast"/>
        <w:ind w:left="720" w:firstLine="720"/>
        <w:rPr>
          <w:rFonts w:ascii="Bookman Old Style" w:hAnsi="Bookman Old Style" w:cs="Arial"/>
          <w:i/>
          <w:szCs w:val="24"/>
        </w:rPr>
      </w:pPr>
      <w:r w:rsidRPr="00C10773">
        <w:rPr>
          <w:rFonts w:ascii="Bookman Old Style" w:hAnsi="Bookman Old Style" w:cs="Arial"/>
          <w:i/>
          <w:szCs w:val="24"/>
        </w:rPr>
        <w:t>Port Coogee Marina</w:t>
      </w:r>
    </w:p>
    <w:p w:rsidR="00476733" w:rsidRDefault="00476733" w:rsidP="00C455B6">
      <w:pPr>
        <w:spacing w:line="0" w:lineRule="atLeast"/>
        <w:ind w:left="1440"/>
        <w:rPr>
          <w:rFonts w:cs="Arial"/>
          <w:szCs w:val="24"/>
        </w:rPr>
      </w:pPr>
    </w:p>
    <w:p w:rsidR="00476733" w:rsidRDefault="00476733" w:rsidP="00C455B6">
      <w:pPr>
        <w:spacing w:line="0" w:lineRule="atLeast"/>
        <w:ind w:left="1440"/>
        <w:rPr>
          <w:rFonts w:cs="Arial"/>
          <w:szCs w:val="24"/>
        </w:rPr>
      </w:pPr>
      <w:r>
        <w:rPr>
          <w:rFonts w:cs="Arial"/>
          <w:szCs w:val="24"/>
        </w:rPr>
        <w:t>As from 24 July 2016, the City will assume control over the assets and operations of the Port Coogee Marina and associated facilities including boardwalk, seawalls, jetties and fuel dispensing facility. The current marina caters for 150 boats with plans for another 150 boat pens, subject to the Council approving the $3m cost of construction and the demand from the boat market. The current 150 pens are leased in short, medium and long term periods.</w:t>
      </w:r>
    </w:p>
    <w:p w:rsidR="00476733" w:rsidRDefault="00476733" w:rsidP="00C455B6">
      <w:pPr>
        <w:spacing w:line="0" w:lineRule="atLeast"/>
        <w:rPr>
          <w:rFonts w:cs="Arial"/>
          <w:szCs w:val="24"/>
        </w:rPr>
      </w:pPr>
    </w:p>
    <w:p w:rsidR="00476733" w:rsidRPr="00D90573" w:rsidRDefault="00476733" w:rsidP="00C455B6">
      <w:pPr>
        <w:tabs>
          <w:tab w:val="left" w:pos="720"/>
          <w:tab w:val="left" w:pos="1440"/>
        </w:tabs>
        <w:ind w:left="1440"/>
        <w:rPr>
          <w:rFonts w:ascii="Bookman Old Style" w:hAnsi="Bookman Old Style"/>
          <w:i/>
          <w:sz w:val="20"/>
        </w:rPr>
      </w:pPr>
      <w:r w:rsidRPr="00D90573">
        <w:rPr>
          <w:rFonts w:ascii="Bookman Old Style" w:hAnsi="Bookman Old Style"/>
          <w:i/>
          <w:sz w:val="20"/>
        </w:rPr>
        <w:t xml:space="preserve">Table </w:t>
      </w:r>
      <w:r>
        <w:rPr>
          <w:rFonts w:ascii="Bookman Old Style" w:hAnsi="Bookman Old Style"/>
          <w:i/>
          <w:sz w:val="20"/>
        </w:rPr>
        <w:t>8</w:t>
      </w:r>
      <w:r w:rsidRPr="00D90573">
        <w:rPr>
          <w:rFonts w:ascii="Bookman Old Style" w:hAnsi="Bookman Old Style"/>
          <w:i/>
          <w:sz w:val="20"/>
        </w:rPr>
        <w:t>A – Port Coogee Marina Business Plan Financials 2016/17 &amp; 2017/18</w:t>
      </w:r>
    </w:p>
    <w:tbl>
      <w:tblPr>
        <w:tblStyle w:val="TableGrid"/>
        <w:tblW w:w="0" w:type="auto"/>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770"/>
        <w:gridCol w:w="1530"/>
        <w:gridCol w:w="1350"/>
      </w:tblGrid>
      <w:tr w:rsidR="00476733" w:rsidRPr="001437DE" w:rsidTr="00C455B6">
        <w:trPr>
          <w:tblHeader/>
        </w:trPr>
        <w:tc>
          <w:tcPr>
            <w:tcW w:w="4770" w:type="dxa"/>
            <w:tcBorders>
              <w:top w:val="double" w:sz="4" w:space="0" w:color="auto"/>
              <w:bottom w:val="double" w:sz="4" w:space="0" w:color="auto"/>
            </w:tcBorders>
            <w:vAlign w:val="center"/>
          </w:tcPr>
          <w:p w:rsidR="00476733" w:rsidRPr="001437DE" w:rsidRDefault="00476733" w:rsidP="00C455B6">
            <w:pPr>
              <w:spacing w:line="0" w:lineRule="atLeast"/>
              <w:jc w:val="left"/>
              <w:rPr>
                <w:rFonts w:cs="Arial"/>
                <w:b/>
                <w:sz w:val="20"/>
              </w:rPr>
            </w:pPr>
            <w:r w:rsidRPr="001437DE">
              <w:rPr>
                <w:rFonts w:cs="Arial"/>
                <w:b/>
                <w:sz w:val="20"/>
              </w:rPr>
              <w:t>City of Cockburn – Port Catherine Non-Marina Costs</w:t>
            </w:r>
          </w:p>
        </w:tc>
        <w:tc>
          <w:tcPr>
            <w:tcW w:w="153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2016/17</w:t>
            </w:r>
          </w:p>
          <w:p w:rsidR="00476733" w:rsidRPr="001437DE" w:rsidRDefault="00476733" w:rsidP="00C455B6">
            <w:pPr>
              <w:spacing w:line="0" w:lineRule="atLeast"/>
              <w:jc w:val="center"/>
              <w:rPr>
                <w:rFonts w:cs="Arial"/>
                <w:b/>
                <w:sz w:val="20"/>
              </w:rPr>
            </w:pPr>
            <w:r w:rsidRPr="001437DE">
              <w:rPr>
                <w:rFonts w:cs="Arial"/>
                <w:b/>
                <w:sz w:val="20"/>
              </w:rPr>
              <w:t>$</w:t>
            </w:r>
          </w:p>
        </w:tc>
        <w:tc>
          <w:tcPr>
            <w:tcW w:w="135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2017/18</w:t>
            </w:r>
          </w:p>
          <w:p w:rsidR="00476733" w:rsidRPr="001437DE" w:rsidRDefault="00476733" w:rsidP="00C455B6">
            <w:pPr>
              <w:spacing w:line="0" w:lineRule="atLeast"/>
              <w:jc w:val="center"/>
              <w:rPr>
                <w:rFonts w:cs="Arial"/>
                <w:b/>
                <w:sz w:val="20"/>
              </w:rPr>
            </w:pPr>
            <w:r w:rsidRPr="001437DE">
              <w:rPr>
                <w:rFonts w:cs="Arial"/>
                <w:b/>
                <w:sz w:val="20"/>
              </w:rPr>
              <w:t>$</w:t>
            </w:r>
          </w:p>
        </w:tc>
      </w:tr>
      <w:tr w:rsidR="00476733" w:rsidRPr="001437DE" w:rsidTr="00C455B6">
        <w:tc>
          <w:tcPr>
            <w:tcW w:w="4770" w:type="dxa"/>
            <w:tcBorders>
              <w:top w:val="double" w:sz="4" w:space="0" w:color="auto"/>
            </w:tcBorders>
          </w:tcPr>
          <w:p w:rsidR="00476733" w:rsidRPr="001437DE" w:rsidRDefault="00476733" w:rsidP="00C455B6">
            <w:pPr>
              <w:spacing w:line="0" w:lineRule="atLeast"/>
              <w:rPr>
                <w:rFonts w:cs="Arial"/>
                <w:sz w:val="20"/>
              </w:rPr>
            </w:pPr>
            <w:r>
              <w:rPr>
                <w:rFonts w:cs="Arial"/>
                <w:sz w:val="20"/>
              </w:rPr>
              <w:t>Municipal Fund</w:t>
            </w:r>
          </w:p>
        </w:tc>
        <w:tc>
          <w:tcPr>
            <w:tcW w:w="1530" w:type="dxa"/>
            <w:tcBorders>
              <w:top w:val="double" w:sz="4" w:space="0" w:color="auto"/>
            </w:tcBorders>
          </w:tcPr>
          <w:p w:rsidR="00476733" w:rsidRPr="001437DE" w:rsidRDefault="00476733" w:rsidP="00C455B6">
            <w:pPr>
              <w:spacing w:line="0" w:lineRule="atLeast"/>
              <w:jc w:val="right"/>
              <w:rPr>
                <w:rFonts w:cs="Arial"/>
                <w:sz w:val="20"/>
              </w:rPr>
            </w:pPr>
            <w:r>
              <w:rPr>
                <w:rFonts w:cs="Arial"/>
                <w:sz w:val="20"/>
              </w:rPr>
              <w:t>50,784</w:t>
            </w:r>
          </w:p>
        </w:tc>
        <w:tc>
          <w:tcPr>
            <w:tcW w:w="1350" w:type="dxa"/>
            <w:tcBorders>
              <w:top w:val="double" w:sz="4" w:space="0" w:color="auto"/>
            </w:tcBorders>
          </w:tcPr>
          <w:p w:rsidR="00476733" w:rsidRPr="001437DE" w:rsidRDefault="00476733" w:rsidP="00C455B6">
            <w:pPr>
              <w:spacing w:line="0" w:lineRule="atLeast"/>
              <w:jc w:val="right"/>
              <w:rPr>
                <w:rFonts w:cs="Arial"/>
                <w:sz w:val="20"/>
              </w:rPr>
            </w:pPr>
            <w:r>
              <w:rPr>
                <w:rFonts w:cs="Arial"/>
                <w:sz w:val="20"/>
              </w:rPr>
              <w:t>49,189</w:t>
            </w:r>
          </w:p>
        </w:tc>
      </w:tr>
      <w:tr w:rsidR="00476733" w:rsidRPr="001437DE" w:rsidTr="00C455B6">
        <w:tc>
          <w:tcPr>
            <w:tcW w:w="4770" w:type="dxa"/>
          </w:tcPr>
          <w:p w:rsidR="00476733" w:rsidRPr="001437DE" w:rsidRDefault="00476733" w:rsidP="00C455B6">
            <w:pPr>
              <w:spacing w:line="0" w:lineRule="atLeast"/>
              <w:rPr>
                <w:rFonts w:cs="Arial"/>
                <w:sz w:val="20"/>
              </w:rPr>
            </w:pPr>
            <w:r>
              <w:rPr>
                <w:rFonts w:cs="Arial"/>
                <w:sz w:val="20"/>
              </w:rPr>
              <w:t>Other Income</w:t>
            </w:r>
          </w:p>
        </w:tc>
        <w:tc>
          <w:tcPr>
            <w:tcW w:w="1530" w:type="dxa"/>
          </w:tcPr>
          <w:p w:rsidR="00476733" w:rsidRPr="001437DE" w:rsidRDefault="00476733" w:rsidP="00C455B6">
            <w:pPr>
              <w:spacing w:line="0" w:lineRule="atLeast"/>
              <w:jc w:val="right"/>
              <w:rPr>
                <w:rFonts w:cs="Arial"/>
                <w:sz w:val="20"/>
              </w:rPr>
            </w:pPr>
            <w:r>
              <w:rPr>
                <w:rFonts w:cs="Arial"/>
                <w:sz w:val="20"/>
              </w:rPr>
              <w:t>282,934</w:t>
            </w:r>
          </w:p>
        </w:tc>
        <w:tc>
          <w:tcPr>
            <w:tcW w:w="1350" w:type="dxa"/>
          </w:tcPr>
          <w:p w:rsidR="00476733" w:rsidRPr="001437DE" w:rsidRDefault="00476733" w:rsidP="00C455B6">
            <w:pPr>
              <w:spacing w:line="0" w:lineRule="atLeast"/>
              <w:jc w:val="right"/>
              <w:rPr>
                <w:rFonts w:cs="Arial"/>
                <w:sz w:val="20"/>
              </w:rPr>
            </w:pPr>
            <w:r>
              <w:rPr>
                <w:rFonts w:cs="Arial"/>
                <w:sz w:val="20"/>
              </w:rPr>
              <w:t>284,529</w:t>
            </w:r>
          </w:p>
        </w:tc>
      </w:tr>
      <w:tr w:rsidR="00476733" w:rsidRPr="001437DE" w:rsidTr="00C455B6">
        <w:tc>
          <w:tcPr>
            <w:tcW w:w="4770" w:type="dxa"/>
          </w:tcPr>
          <w:p w:rsidR="00476733" w:rsidRPr="001437DE" w:rsidRDefault="00476733" w:rsidP="00C455B6">
            <w:pPr>
              <w:spacing w:line="0" w:lineRule="atLeast"/>
              <w:rPr>
                <w:rFonts w:cs="Arial"/>
                <w:b/>
                <w:sz w:val="20"/>
              </w:rPr>
            </w:pPr>
            <w:r w:rsidRPr="001437DE">
              <w:rPr>
                <w:rFonts w:cs="Arial"/>
                <w:b/>
                <w:sz w:val="20"/>
              </w:rPr>
              <w:t>Total Income</w:t>
            </w:r>
          </w:p>
        </w:tc>
        <w:tc>
          <w:tcPr>
            <w:tcW w:w="1530" w:type="dxa"/>
          </w:tcPr>
          <w:p w:rsidR="00476733" w:rsidRPr="001437DE" w:rsidRDefault="00476733" w:rsidP="00C455B6">
            <w:pPr>
              <w:spacing w:line="0" w:lineRule="atLeast"/>
              <w:jc w:val="right"/>
              <w:rPr>
                <w:rFonts w:cs="Arial"/>
                <w:b/>
                <w:sz w:val="20"/>
              </w:rPr>
            </w:pPr>
            <w:r w:rsidRPr="001437DE">
              <w:rPr>
                <w:rFonts w:cs="Arial"/>
                <w:b/>
                <w:sz w:val="20"/>
              </w:rPr>
              <w:t>333,718</w:t>
            </w:r>
          </w:p>
        </w:tc>
        <w:tc>
          <w:tcPr>
            <w:tcW w:w="1350" w:type="dxa"/>
          </w:tcPr>
          <w:p w:rsidR="00476733" w:rsidRPr="001437DE" w:rsidRDefault="00476733" w:rsidP="00C455B6">
            <w:pPr>
              <w:spacing w:line="0" w:lineRule="atLeast"/>
              <w:jc w:val="right"/>
              <w:rPr>
                <w:rFonts w:cs="Arial"/>
                <w:b/>
                <w:sz w:val="20"/>
              </w:rPr>
            </w:pPr>
            <w:r w:rsidRPr="001437DE">
              <w:rPr>
                <w:rFonts w:cs="Arial"/>
                <w:b/>
                <w:sz w:val="20"/>
              </w:rPr>
              <w:t>333,718</w:t>
            </w:r>
          </w:p>
        </w:tc>
      </w:tr>
      <w:tr w:rsidR="00476733" w:rsidRPr="001437DE" w:rsidTr="00C455B6">
        <w:tc>
          <w:tcPr>
            <w:tcW w:w="4770" w:type="dxa"/>
          </w:tcPr>
          <w:p w:rsidR="00476733" w:rsidRPr="001437DE" w:rsidRDefault="00476733" w:rsidP="00C455B6">
            <w:pPr>
              <w:spacing w:line="0" w:lineRule="atLeast"/>
              <w:rPr>
                <w:rFonts w:cs="Arial"/>
                <w:sz w:val="20"/>
              </w:rPr>
            </w:pPr>
          </w:p>
        </w:tc>
        <w:tc>
          <w:tcPr>
            <w:tcW w:w="1530" w:type="dxa"/>
          </w:tcPr>
          <w:p w:rsidR="00476733" w:rsidRPr="001437DE" w:rsidRDefault="00476733" w:rsidP="00C455B6">
            <w:pPr>
              <w:spacing w:line="0" w:lineRule="atLeast"/>
              <w:jc w:val="right"/>
              <w:rPr>
                <w:rFonts w:cs="Arial"/>
                <w:sz w:val="20"/>
              </w:rPr>
            </w:pPr>
          </w:p>
        </w:tc>
        <w:tc>
          <w:tcPr>
            <w:tcW w:w="1350" w:type="dxa"/>
          </w:tcPr>
          <w:p w:rsidR="00476733" w:rsidRPr="001437DE" w:rsidRDefault="00476733" w:rsidP="00C455B6">
            <w:pPr>
              <w:spacing w:line="0" w:lineRule="atLeast"/>
              <w:jc w:val="right"/>
              <w:rPr>
                <w:rFonts w:cs="Arial"/>
                <w:sz w:val="20"/>
              </w:rPr>
            </w:pPr>
          </w:p>
        </w:tc>
      </w:tr>
      <w:tr w:rsidR="00476733" w:rsidRPr="001437DE" w:rsidTr="00C455B6">
        <w:tc>
          <w:tcPr>
            <w:tcW w:w="4770" w:type="dxa"/>
          </w:tcPr>
          <w:p w:rsidR="00476733" w:rsidRPr="001437DE" w:rsidRDefault="00476733" w:rsidP="00C455B6">
            <w:pPr>
              <w:spacing w:line="0" w:lineRule="atLeast"/>
              <w:rPr>
                <w:rFonts w:cs="Arial"/>
                <w:sz w:val="20"/>
              </w:rPr>
            </w:pPr>
            <w:r>
              <w:rPr>
                <w:rFonts w:cs="Arial"/>
                <w:sz w:val="20"/>
              </w:rPr>
              <w:t>Recruitment Expenses</w:t>
            </w:r>
          </w:p>
        </w:tc>
        <w:tc>
          <w:tcPr>
            <w:tcW w:w="1530" w:type="dxa"/>
          </w:tcPr>
          <w:p w:rsidR="00476733" w:rsidRPr="001437DE" w:rsidRDefault="00476733" w:rsidP="00C455B6">
            <w:pPr>
              <w:spacing w:line="0" w:lineRule="atLeast"/>
              <w:jc w:val="right"/>
              <w:rPr>
                <w:rFonts w:cs="Arial"/>
                <w:sz w:val="20"/>
              </w:rPr>
            </w:pPr>
          </w:p>
        </w:tc>
        <w:tc>
          <w:tcPr>
            <w:tcW w:w="1350" w:type="dxa"/>
          </w:tcPr>
          <w:p w:rsidR="00476733" w:rsidRPr="001437DE" w:rsidRDefault="00476733" w:rsidP="00C455B6">
            <w:pPr>
              <w:spacing w:line="0" w:lineRule="atLeast"/>
              <w:jc w:val="right"/>
              <w:rPr>
                <w:rFonts w:cs="Arial"/>
                <w:sz w:val="20"/>
              </w:rPr>
            </w:pP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(a)</w:t>
            </w:r>
            <w:r>
              <w:rPr>
                <w:rFonts w:cs="Arial"/>
                <w:sz w:val="20"/>
              </w:rPr>
              <w:tab/>
              <w:t>Marina Pens</w:t>
            </w:r>
          </w:p>
        </w:tc>
        <w:tc>
          <w:tcPr>
            <w:tcW w:w="1530" w:type="dxa"/>
          </w:tcPr>
          <w:p w:rsidR="00476733" w:rsidRPr="001437DE" w:rsidRDefault="00476733" w:rsidP="00C455B6">
            <w:pPr>
              <w:spacing w:line="0" w:lineRule="atLeast"/>
              <w:jc w:val="right"/>
              <w:rPr>
                <w:rFonts w:cs="Arial"/>
                <w:sz w:val="20"/>
              </w:rPr>
            </w:pPr>
            <w:r>
              <w:rPr>
                <w:rFonts w:cs="Arial"/>
                <w:sz w:val="20"/>
              </w:rPr>
              <w:t>0</w:t>
            </w:r>
          </w:p>
        </w:tc>
        <w:tc>
          <w:tcPr>
            <w:tcW w:w="1350" w:type="dxa"/>
          </w:tcPr>
          <w:p w:rsidR="00476733" w:rsidRPr="001437DE" w:rsidRDefault="00476733" w:rsidP="00C455B6">
            <w:pPr>
              <w:spacing w:line="0" w:lineRule="atLeast"/>
              <w:jc w:val="right"/>
              <w:rPr>
                <w:rFonts w:cs="Arial"/>
                <w:sz w:val="20"/>
              </w:rPr>
            </w:pPr>
            <w:r>
              <w:rPr>
                <w:rFonts w:cs="Arial"/>
                <w:sz w:val="20"/>
              </w:rPr>
              <w:t>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(b)</w:t>
            </w:r>
            <w:r>
              <w:rPr>
                <w:rFonts w:cs="Arial"/>
                <w:sz w:val="20"/>
              </w:rPr>
              <w:tab/>
              <w:t>Marina External (</w:t>
            </w:r>
            <w:proofErr w:type="spellStart"/>
            <w:r>
              <w:rPr>
                <w:rFonts w:cs="Arial"/>
                <w:sz w:val="20"/>
              </w:rPr>
              <w:t>inc.</w:t>
            </w:r>
            <w:proofErr w:type="spellEnd"/>
            <w:r>
              <w:rPr>
                <w:rFonts w:cs="Arial"/>
                <w:sz w:val="20"/>
              </w:rPr>
              <w:t xml:space="preserve"> Fishing Jetty)</w:t>
            </w:r>
          </w:p>
        </w:tc>
        <w:tc>
          <w:tcPr>
            <w:tcW w:w="1530" w:type="dxa"/>
          </w:tcPr>
          <w:p w:rsidR="00476733" w:rsidRDefault="00476733" w:rsidP="00C455B6">
            <w:pPr>
              <w:spacing w:line="0" w:lineRule="atLeast"/>
              <w:jc w:val="right"/>
              <w:rPr>
                <w:rFonts w:cs="Arial"/>
                <w:sz w:val="20"/>
              </w:rPr>
            </w:pPr>
            <w:r>
              <w:rPr>
                <w:rFonts w:cs="Arial"/>
                <w:sz w:val="20"/>
              </w:rPr>
              <w:t>33,618</w:t>
            </w:r>
          </w:p>
        </w:tc>
        <w:tc>
          <w:tcPr>
            <w:tcW w:w="1350" w:type="dxa"/>
          </w:tcPr>
          <w:p w:rsidR="00476733" w:rsidRDefault="00476733" w:rsidP="00C455B6">
            <w:pPr>
              <w:spacing w:line="0" w:lineRule="atLeast"/>
              <w:jc w:val="right"/>
              <w:rPr>
                <w:rFonts w:cs="Arial"/>
                <w:sz w:val="20"/>
              </w:rPr>
            </w:pPr>
            <w:r>
              <w:rPr>
                <w:rFonts w:cs="Arial"/>
                <w:sz w:val="20"/>
              </w:rPr>
              <w:t>33,618</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(c)</w:t>
            </w:r>
            <w:r>
              <w:rPr>
                <w:rFonts w:cs="Arial"/>
                <w:sz w:val="20"/>
              </w:rPr>
              <w:tab/>
              <w:t>Marina Services Building</w:t>
            </w:r>
          </w:p>
        </w:tc>
        <w:tc>
          <w:tcPr>
            <w:tcW w:w="1530" w:type="dxa"/>
          </w:tcPr>
          <w:p w:rsidR="00476733" w:rsidRDefault="00476733" w:rsidP="00C455B6">
            <w:pPr>
              <w:spacing w:line="0" w:lineRule="atLeast"/>
              <w:jc w:val="right"/>
              <w:rPr>
                <w:rFonts w:cs="Arial"/>
                <w:sz w:val="20"/>
              </w:rPr>
            </w:pPr>
            <w:r>
              <w:rPr>
                <w:rFonts w:cs="Arial"/>
                <w:sz w:val="20"/>
              </w:rPr>
              <w:t>0</w:t>
            </w:r>
          </w:p>
        </w:tc>
        <w:tc>
          <w:tcPr>
            <w:tcW w:w="1350" w:type="dxa"/>
          </w:tcPr>
          <w:p w:rsidR="00476733" w:rsidRDefault="00476733" w:rsidP="00C455B6">
            <w:pPr>
              <w:spacing w:line="0" w:lineRule="atLeast"/>
              <w:jc w:val="right"/>
              <w:rPr>
                <w:rFonts w:cs="Arial"/>
                <w:sz w:val="20"/>
              </w:rPr>
            </w:pPr>
            <w:r>
              <w:rPr>
                <w:rFonts w:cs="Arial"/>
                <w:sz w:val="20"/>
              </w:rPr>
              <w:t>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(d)</w:t>
            </w:r>
            <w:r>
              <w:rPr>
                <w:rFonts w:cs="Arial"/>
                <w:sz w:val="20"/>
              </w:rPr>
              <w:tab/>
              <w:t>Marina Groundwater Interception Device</w:t>
            </w:r>
          </w:p>
        </w:tc>
        <w:tc>
          <w:tcPr>
            <w:tcW w:w="1530" w:type="dxa"/>
          </w:tcPr>
          <w:p w:rsidR="00476733" w:rsidRDefault="00476733" w:rsidP="00C455B6">
            <w:pPr>
              <w:spacing w:line="0" w:lineRule="atLeast"/>
              <w:jc w:val="right"/>
              <w:rPr>
                <w:rFonts w:cs="Arial"/>
                <w:sz w:val="20"/>
              </w:rPr>
            </w:pPr>
            <w:r>
              <w:rPr>
                <w:rFonts w:cs="Arial"/>
                <w:sz w:val="20"/>
              </w:rPr>
              <w:t>35,350</w:t>
            </w:r>
          </w:p>
        </w:tc>
        <w:tc>
          <w:tcPr>
            <w:tcW w:w="1350" w:type="dxa"/>
          </w:tcPr>
          <w:p w:rsidR="00476733" w:rsidRDefault="00476733" w:rsidP="00C455B6">
            <w:pPr>
              <w:spacing w:line="0" w:lineRule="atLeast"/>
              <w:jc w:val="right"/>
              <w:rPr>
                <w:rFonts w:cs="Arial"/>
                <w:sz w:val="20"/>
              </w:rPr>
            </w:pPr>
            <w:r>
              <w:rPr>
                <w:rFonts w:cs="Arial"/>
                <w:sz w:val="20"/>
              </w:rPr>
              <w:t>35,350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Non-Recurrent OP Expenses</w:t>
            </w:r>
          </w:p>
        </w:tc>
        <w:tc>
          <w:tcPr>
            <w:tcW w:w="1530" w:type="dxa"/>
          </w:tcPr>
          <w:p w:rsidR="00476733" w:rsidRDefault="00476733" w:rsidP="00C455B6">
            <w:pPr>
              <w:spacing w:line="0" w:lineRule="atLeast"/>
              <w:jc w:val="right"/>
              <w:rPr>
                <w:rFonts w:cs="Arial"/>
                <w:sz w:val="20"/>
              </w:rPr>
            </w:pPr>
            <w:r>
              <w:rPr>
                <w:rFonts w:cs="Arial"/>
                <w:sz w:val="20"/>
              </w:rPr>
              <w:t>128,500</w:t>
            </w:r>
          </w:p>
        </w:tc>
        <w:tc>
          <w:tcPr>
            <w:tcW w:w="1350" w:type="dxa"/>
          </w:tcPr>
          <w:p w:rsidR="00476733" w:rsidRDefault="00476733" w:rsidP="00C455B6">
            <w:pPr>
              <w:spacing w:line="0" w:lineRule="atLeast"/>
              <w:jc w:val="right"/>
              <w:rPr>
                <w:rFonts w:cs="Arial"/>
                <w:sz w:val="20"/>
              </w:rPr>
            </w:pPr>
            <w:r>
              <w:rPr>
                <w:rFonts w:cs="Arial"/>
                <w:sz w:val="20"/>
              </w:rPr>
              <w:t>128,500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Depreciation</w:t>
            </w:r>
          </w:p>
        </w:tc>
        <w:tc>
          <w:tcPr>
            <w:tcW w:w="1530" w:type="dxa"/>
          </w:tcPr>
          <w:p w:rsidR="00476733" w:rsidRDefault="00476733" w:rsidP="00C455B6">
            <w:pPr>
              <w:spacing w:line="0" w:lineRule="atLeast"/>
              <w:jc w:val="right"/>
              <w:rPr>
                <w:rFonts w:cs="Arial"/>
                <w:sz w:val="20"/>
              </w:rPr>
            </w:pPr>
            <w:r>
              <w:rPr>
                <w:rFonts w:cs="Arial"/>
                <w:sz w:val="20"/>
              </w:rPr>
              <w:t>136,250</w:t>
            </w:r>
          </w:p>
        </w:tc>
        <w:tc>
          <w:tcPr>
            <w:tcW w:w="1350" w:type="dxa"/>
          </w:tcPr>
          <w:p w:rsidR="00476733" w:rsidRDefault="00476733" w:rsidP="00C455B6">
            <w:pPr>
              <w:spacing w:line="0" w:lineRule="atLeast"/>
              <w:jc w:val="right"/>
              <w:rPr>
                <w:rFonts w:cs="Arial"/>
                <w:sz w:val="20"/>
              </w:rPr>
            </w:pPr>
            <w:r>
              <w:rPr>
                <w:rFonts w:cs="Arial"/>
                <w:sz w:val="20"/>
              </w:rPr>
              <w:t>136,250</w:t>
            </w:r>
          </w:p>
        </w:tc>
      </w:tr>
      <w:tr w:rsidR="00476733" w:rsidRPr="001437DE" w:rsidTr="00C455B6">
        <w:tc>
          <w:tcPr>
            <w:tcW w:w="4770" w:type="dxa"/>
          </w:tcPr>
          <w:p w:rsidR="00476733" w:rsidRPr="001437DE" w:rsidRDefault="00476733" w:rsidP="00C455B6">
            <w:pPr>
              <w:spacing w:line="0" w:lineRule="atLeast"/>
              <w:rPr>
                <w:rFonts w:cs="Arial"/>
                <w:b/>
                <w:sz w:val="20"/>
              </w:rPr>
            </w:pPr>
            <w:r w:rsidRPr="001437DE">
              <w:rPr>
                <w:rFonts w:cs="Arial"/>
                <w:b/>
                <w:sz w:val="20"/>
              </w:rPr>
              <w:t>Total Expenditure</w:t>
            </w:r>
          </w:p>
        </w:tc>
        <w:tc>
          <w:tcPr>
            <w:tcW w:w="1530" w:type="dxa"/>
          </w:tcPr>
          <w:p w:rsidR="00476733" w:rsidRPr="001437DE" w:rsidRDefault="00476733" w:rsidP="00C455B6">
            <w:pPr>
              <w:spacing w:line="0" w:lineRule="atLeast"/>
              <w:jc w:val="right"/>
              <w:rPr>
                <w:rFonts w:cs="Arial"/>
                <w:b/>
                <w:sz w:val="20"/>
              </w:rPr>
            </w:pPr>
            <w:r w:rsidRPr="001437DE">
              <w:rPr>
                <w:rFonts w:cs="Arial"/>
                <w:b/>
                <w:sz w:val="20"/>
              </w:rPr>
              <w:t>333,718</w:t>
            </w:r>
          </w:p>
        </w:tc>
        <w:tc>
          <w:tcPr>
            <w:tcW w:w="1350" w:type="dxa"/>
          </w:tcPr>
          <w:p w:rsidR="00476733" w:rsidRPr="001437DE" w:rsidRDefault="00476733" w:rsidP="00C455B6">
            <w:pPr>
              <w:spacing w:line="0" w:lineRule="atLeast"/>
              <w:jc w:val="right"/>
              <w:rPr>
                <w:rFonts w:cs="Arial"/>
                <w:b/>
                <w:sz w:val="20"/>
              </w:rPr>
            </w:pPr>
            <w:r w:rsidRPr="001437DE">
              <w:rPr>
                <w:rFonts w:cs="Arial"/>
                <w:b/>
                <w:sz w:val="20"/>
              </w:rPr>
              <w:t>333,718</w:t>
            </w:r>
          </w:p>
        </w:tc>
      </w:tr>
    </w:tbl>
    <w:p w:rsidR="00476733" w:rsidRDefault="00476733" w:rsidP="00C455B6">
      <w:pPr>
        <w:spacing w:line="0" w:lineRule="atLeast"/>
        <w:rPr>
          <w:rFonts w:cs="Arial"/>
          <w:szCs w:val="24"/>
        </w:rPr>
      </w:pPr>
    </w:p>
    <w:p w:rsidR="00C455B6" w:rsidRDefault="00C455B6" w:rsidP="00C455B6">
      <w:pPr>
        <w:spacing w:line="0" w:lineRule="atLeast"/>
        <w:rPr>
          <w:rFonts w:cs="Arial"/>
          <w:szCs w:val="24"/>
        </w:rPr>
      </w:pPr>
    </w:p>
    <w:p w:rsidR="00C455B6" w:rsidRDefault="00C455B6" w:rsidP="00C455B6">
      <w:pPr>
        <w:spacing w:line="0" w:lineRule="atLeast"/>
        <w:rPr>
          <w:rFonts w:cs="Arial"/>
          <w:szCs w:val="24"/>
        </w:rPr>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lastRenderedPageBreak/>
        <w:t xml:space="preserve">Table </w:t>
      </w:r>
      <w:r>
        <w:rPr>
          <w:rFonts w:ascii="Bookman Old Style" w:hAnsi="Bookman Old Style"/>
          <w:i/>
          <w:sz w:val="20"/>
        </w:rPr>
        <w:t>8</w:t>
      </w:r>
      <w:r w:rsidRPr="00360F32">
        <w:rPr>
          <w:rFonts w:ascii="Bookman Old Style" w:hAnsi="Bookman Old Style"/>
          <w:i/>
          <w:sz w:val="20"/>
        </w:rPr>
        <w:t>B – Port Coogee Marina Business Plan Financials 2016/17 &amp; 17/8</w:t>
      </w:r>
    </w:p>
    <w:tbl>
      <w:tblPr>
        <w:tblStyle w:val="TableGrid"/>
        <w:tblW w:w="0" w:type="auto"/>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770"/>
        <w:gridCol w:w="1530"/>
        <w:gridCol w:w="1350"/>
      </w:tblGrid>
      <w:tr w:rsidR="00476733" w:rsidRPr="001437DE" w:rsidTr="00C455B6">
        <w:trPr>
          <w:tblHeader/>
        </w:trPr>
        <w:tc>
          <w:tcPr>
            <w:tcW w:w="4770" w:type="dxa"/>
            <w:tcBorders>
              <w:top w:val="double" w:sz="4" w:space="0" w:color="auto"/>
              <w:bottom w:val="double" w:sz="4" w:space="0" w:color="auto"/>
            </w:tcBorders>
            <w:vAlign w:val="center"/>
          </w:tcPr>
          <w:p w:rsidR="00476733" w:rsidRPr="001437DE" w:rsidRDefault="00476733" w:rsidP="00C455B6">
            <w:pPr>
              <w:spacing w:line="0" w:lineRule="atLeast"/>
              <w:jc w:val="left"/>
              <w:rPr>
                <w:rFonts w:cs="Arial"/>
                <w:b/>
                <w:sz w:val="20"/>
              </w:rPr>
            </w:pPr>
            <w:r w:rsidRPr="001437DE">
              <w:rPr>
                <w:rFonts w:cs="Arial"/>
                <w:b/>
                <w:sz w:val="20"/>
              </w:rPr>
              <w:t>City of Cockburn – Port Catherine Marina</w:t>
            </w:r>
          </w:p>
        </w:tc>
        <w:tc>
          <w:tcPr>
            <w:tcW w:w="153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2016/17</w:t>
            </w:r>
          </w:p>
          <w:p w:rsidR="00476733" w:rsidRPr="001437DE" w:rsidRDefault="00476733" w:rsidP="00C455B6">
            <w:pPr>
              <w:spacing w:line="0" w:lineRule="atLeast"/>
              <w:jc w:val="center"/>
              <w:rPr>
                <w:rFonts w:cs="Arial"/>
                <w:b/>
                <w:sz w:val="20"/>
              </w:rPr>
            </w:pPr>
            <w:r w:rsidRPr="001437DE">
              <w:rPr>
                <w:rFonts w:cs="Arial"/>
                <w:b/>
                <w:sz w:val="20"/>
              </w:rPr>
              <w:t>$</w:t>
            </w:r>
          </w:p>
        </w:tc>
        <w:tc>
          <w:tcPr>
            <w:tcW w:w="135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2017/18</w:t>
            </w:r>
          </w:p>
          <w:p w:rsidR="00476733" w:rsidRPr="001437DE" w:rsidRDefault="00476733" w:rsidP="00C455B6">
            <w:pPr>
              <w:spacing w:line="0" w:lineRule="atLeast"/>
              <w:jc w:val="center"/>
              <w:rPr>
                <w:rFonts w:cs="Arial"/>
                <w:b/>
                <w:sz w:val="20"/>
              </w:rPr>
            </w:pPr>
            <w:r w:rsidRPr="001437DE">
              <w:rPr>
                <w:rFonts w:cs="Arial"/>
                <w:b/>
                <w:sz w:val="20"/>
              </w:rPr>
              <w:t>$</w:t>
            </w:r>
          </w:p>
        </w:tc>
      </w:tr>
      <w:tr w:rsidR="00476733" w:rsidRPr="001437DE" w:rsidTr="00C455B6">
        <w:tc>
          <w:tcPr>
            <w:tcW w:w="4770" w:type="dxa"/>
            <w:tcBorders>
              <w:top w:val="double" w:sz="4" w:space="0" w:color="auto"/>
            </w:tcBorders>
          </w:tcPr>
          <w:p w:rsidR="00476733" w:rsidRPr="001437DE" w:rsidRDefault="00476733" w:rsidP="00C455B6">
            <w:pPr>
              <w:spacing w:line="0" w:lineRule="atLeast"/>
              <w:rPr>
                <w:rFonts w:cs="Arial"/>
                <w:sz w:val="20"/>
              </w:rPr>
            </w:pPr>
            <w:r>
              <w:rPr>
                <w:rFonts w:cs="Arial"/>
                <w:sz w:val="20"/>
              </w:rPr>
              <w:t>Marina Pen Fees – Current Occupancy</w:t>
            </w:r>
          </w:p>
        </w:tc>
        <w:tc>
          <w:tcPr>
            <w:tcW w:w="1530" w:type="dxa"/>
            <w:tcBorders>
              <w:top w:val="double" w:sz="4" w:space="0" w:color="auto"/>
            </w:tcBorders>
          </w:tcPr>
          <w:p w:rsidR="00476733" w:rsidRPr="001437DE" w:rsidRDefault="00476733" w:rsidP="00C455B6">
            <w:pPr>
              <w:spacing w:line="0" w:lineRule="atLeast"/>
              <w:jc w:val="right"/>
              <w:rPr>
                <w:rFonts w:cs="Arial"/>
                <w:sz w:val="20"/>
              </w:rPr>
            </w:pPr>
            <w:r>
              <w:rPr>
                <w:rFonts w:cs="Arial"/>
                <w:sz w:val="20"/>
              </w:rPr>
              <w:t>896,750</w:t>
            </w:r>
          </w:p>
        </w:tc>
        <w:tc>
          <w:tcPr>
            <w:tcW w:w="1350" w:type="dxa"/>
            <w:tcBorders>
              <w:top w:val="double" w:sz="4" w:space="0" w:color="auto"/>
            </w:tcBorders>
          </w:tcPr>
          <w:p w:rsidR="00476733" w:rsidRPr="001437DE" w:rsidRDefault="00476733" w:rsidP="00C455B6">
            <w:pPr>
              <w:spacing w:line="0" w:lineRule="atLeast"/>
              <w:jc w:val="right"/>
              <w:rPr>
                <w:rFonts w:cs="Arial"/>
                <w:sz w:val="20"/>
              </w:rPr>
            </w:pPr>
            <w:r>
              <w:rPr>
                <w:rFonts w:cs="Arial"/>
                <w:sz w:val="20"/>
              </w:rPr>
              <w:t>919,169</w:t>
            </w:r>
          </w:p>
        </w:tc>
      </w:tr>
      <w:tr w:rsidR="00476733" w:rsidRPr="001437DE" w:rsidTr="00C455B6">
        <w:tc>
          <w:tcPr>
            <w:tcW w:w="4770" w:type="dxa"/>
          </w:tcPr>
          <w:p w:rsidR="00476733" w:rsidRPr="001437DE" w:rsidRDefault="00476733" w:rsidP="00C455B6">
            <w:pPr>
              <w:spacing w:line="0" w:lineRule="atLeast"/>
              <w:rPr>
                <w:rFonts w:cs="Arial"/>
                <w:sz w:val="20"/>
              </w:rPr>
            </w:pPr>
            <w:r>
              <w:rPr>
                <w:rFonts w:cs="Arial"/>
                <w:sz w:val="20"/>
              </w:rPr>
              <w:t>Marina Services Building Lease</w:t>
            </w:r>
          </w:p>
        </w:tc>
        <w:tc>
          <w:tcPr>
            <w:tcW w:w="1530" w:type="dxa"/>
          </w:tcPr>
          <w:p w:rsidR="00476733" w:rsidRPr="001437DE" w:rsidRDefault="00476733" w:rsidP="00C455B6">
            <w:pPr>
              <w:spacing w:line="0" w:lineRule="atLeast"/>
              <w:jc w:val="right"/>
              <w:rPr>
                <w:rFonts w:cs="Arial"/>
                <w:sz w:val="20"/>
              </w:rPr>
            </w:pPr>
            <w:r>
              <w:rPr>
                <w:rFonts w:cs="Arial"/>
                <w:sz w:val="20"/>
              </w:rPr>
              <w:t>46,750</w:t>
            </w:r>
          </w:p>
        </w:tc>
        <w:tc>
          <w:tcPr>
            <w:tcW w:w="1350" w:type="dxa"/>
          </w:tcPr>
          <w:p w:rsidR="00476733" w:rsidRPr="001437DE" w:rsidRDefault="00476733" w:rsidP="00C455B6">
            <w:pPr>
              <w:spacing w:line="0" w:lineRule="atLeast"/>
              <w:jc w:val="right"/>
              <w:rPr>
                <w:rFonts w:cs="Arial"/>
                <w:sz w:val="20"/>
              </w:rPr>
            </w:pPr>
            <w:r>
              <w:rPr>
                <w:rFonts w:cs="Arial"/>
                <w:sz w:val="20"/>
              </w:rPr>
              <w:t>47,919</w:t>
            </w:r>
          </w:p>
        </w:tc>
      </w:tr>
      <w:tr w:rsidR="00476733" w:rsidRPr="001437DE" w:rsidTr="00C455B6">
        <w:tc>
          <w:tcPr>
            <w:tcW w:w="4770" w:type="dxa"/>
          </w:tcPr>
          <w:p w:rsidR="00476733" w:rsidRPr="001437DE" w:rsidRDefault="00476733" w:rsidP="00C455B6">
            <w:pPr>
              <w:spacing w:line="0" w:lineRule="atLeast"/>
              <w:rPr>
                <w:rFonts w:cs="Arial"/>
                <w:sz w:val="20"/>
              </w:rPr>
            </w:pPr>
            <w:r>
              <w:rPr>
                <w:rFonts w:cs="Arial"/>
                <w:sz w:val="20"/>
              </w:rPr>
              <w:t>Other Income</w:t>
            </w:r>
          </w:p>
        </w:tc>
        <w:tc>
          <w:tcPr>
            <w:tcW w:w="1530" w:type="dxa"/>
          </w:tcPr>
          <w:p w:rsidR="00476733" w:rsidRPr="001437DE" w:rsidRDefault="00476733" w:rsidP="00C455B6">
            <w:pPr>
              <w:spacing w:line="0" w:lineRule="atLeast"/>
              <w:jc w:val="right"/>
              <w:rPr>
                <w:rFonts w:cs="Arial"/>
                <w:sz w:val="20"/>
              </w:rPr>
            </w:pPr>
            <w:r>
              <w:rPr>
                <w:rFonts w:cs="Arial"/>
                <w:sz w:val="20"/>
              </w:rPr>
              <w:t>14,000</w:t>
            </w:r>
          </w:p>
        </w:tc>
        <w:tc>
          <w:tcPr>
            <w:tcW w:w="1350" w:type="dxa"/>
          </w:tcPr>
          <w:p w:rsidR="00476733" w:rsidRPr="001437DE" w:rsidRDefault="00476733" w:rsidP="00C455B6">
            <w:pPr>
              <w:spacing w:line="0" w:lineRule="atLeast"/>
              <w:jc w:val="right"/>
              <w:rPr>
                <w:rFonts w:cs="Arial"/>
                <w:sz w:val="20"/>
              </w:rPr>
            </w:pPr>
            <w:r>
              <w:rPr>
                <w:rFonts w:cs="Arial"/>
                <w:sz w:val="20"/>
              </w:rPr>
              <w:t>14,000</w:t>
            </w:r>
          </w:p>
        </w:tc>
      </w:tr>
      <w:tr w:rsidR="00476733" w:rsidRPr="001437DE" w:rsidTr="00C455B6">
        <w:tc>
          <w:tcPr>
            <w:tcW w:w="4770" w:type="dxa"/>
          </w:tcPr>
          <w:p w:rsidR="00476733" w:rsidRPr="001437DE" w:rsidRDefault="00476733" w:rsidP="00C455B6">
            <w:pPr>
              <w:spacing w:line="0" w:lineRule="atLeast"/>
              <w:rPr>
                <w:rFonts w:cs="Arial"/>
                <w:b/>
                <w:sz w:val="20"/>
              </w:rPr>
            </w:pPr>
            <w:r w:rsidRPr="001437DE">
              <w:rPr>
                <w:rFonts w:cs="Arial"/>
                <w:b/>
                <w:sz w:val="20"/>
              </w:rPr>
              <w:t>Total Income</w:t>
            </w:r>
          </w:p>
        </w:tc>
        <w:tc>
          <w:tcPr>
            <w:tcW w:w="1530" w:type="dxa"/>
          </w:tcPr>
          <w:p w:rsidR="00476733" w:rsidRPr="001437DE" w:rsidRDefault="00476733" w:rsidP="00C455B6">
            <w:pPr>
              <w:spacing w:line="0" w:lineRule="atLeast"/>
              <w:jc w:val="right"/>
              <w:rPr>
                <w:rFonts w:cs="Arial"/>
                <w:b/>
                <w:sz w:val="20"/>
              </w:rPr>
            </w:pPr>
            <w:r w:rsidRPr="001437DE">
              <w:rPr>
                <w:rFonts w:cs="Arial"/>
                <w:b/>
                <w:sz w:val="20"/>
              </w:rPr>
              <w:t>957,500</w:t>
            </w:r>
          </w:p>
        </w:tc>
        <w:tc>
          <w:tcPr>
            <w:tcW w:w="1350" w:type="dxa"/>
          </w:tcPr>
          <w:p w:rsidR="00476733" w:rsidRPr="001437DE" w:rsidRDefault="00476733" w:rsidP="00C455B6">
            <w:pPr>
              <w:spacing w:line="0" w:lineRule="atLeast"/>
              <w:jc w:val="right"/>
              <w:rPr>
                <w:rFonts w:cs="Arial"/>
                <w:b/>
                <w:sz w:val="20"/>
              </w:rPr>
            </w:pPr>
            <w:r w:rsidRPr="001437DE">
              <w:rPr>
                <w:rFonts w:cs="Arial"/>
                <w:b/>
                <w:sz w:val="20"/>
              </w:rPr>
              <w:t>981,088</w:t>
            </w:r>
          </w:p>
        </w:tc>
      </w:tr>
      <w:tr w:rsidR="00476733" w:rsidRPr="001437DE" w:rsidTr="00C455B6">
        <w:tc>
          <w:tcPr>
            <w:tcW w:w="4770" w:type="dxa"/>
          </w:tcPr>
          <w:p w:rsidR="00476733" w:rsidRPr="001437DE" w:rsidRDefault="00476733" w:rsidP="00C455B6">
            <w:pPr>
              <w:spacing w:line="0" w:lineRule="atLeast"/>
              <w:rPr>
                <w:rFonts w:cs="Arial"/>
                <w:sz w:val="20"/>
              </w:rPr>
            </w:pPr>
          </w:p>
        </w:tc>
        <w:tc>
          <w:tcPr>
            <w:tcW w:w="1530" w:type="dxa"/>
          </w:tcPr>
          <w:p w:rsidR="00476733" w:rsidRPr="001437DE" w:rsidRDefault="00476733" w:rsidP="00C455B6">
            <w:pPr>
              <w:spacing w:line="0" w:lineRule="atLeast"/>
              <w:jc w:val="right"/>
              <w:rPr>
                <w:rFonts w:cs="Arial"/>
                <w:sz w:val="20"/>
              </w:rPr>
            </w:pPr>
          </w:p>
        </w:tc>
        <w:tc>
          <w:tcPr>
            <w:tcW w:w="1350" w:type="dxa"/>
          </w:tcPr>
          <w:p w:rsidR="00476733" w:rsidRPr="001437DE" w:rsidRDefault="00476733" w:rsidP="00C455B6">
            <w:pPr>
              <w:spacing w:line="0" w:lineRule="atLeast"/>
              <w:jc w:val="right"/>
              <w:rPr>
                <w:rFonts w:cs="Arial"/>
                <w:sz w:val="20"/>
              </w:rPr>
            </w:pPr>
          </w:p>
        </w:tc>
      </w:tr>
      <w:tr w:rsidR="00476733" w:rsidRPr="001437DE" w:rsidTr="00C455B6">
        <w:tc>
          <w:tcPr>
            <w:tcW w:w="4770" w:type="dxa"/>
          </w:tcPr>
          <w:p w:rsidR="00476733" w:rsidRPr="001437DE" w:rsidRDefault="00476733" w:rsidP="00C455B6">
            <w:pPr>
              <w:spacing w:line="0" w:lineRule="atLeast"/>
              <w:rPr>
                <w:rFonts w:cs="Arial"/>
                <w:sz w:val="20"/>
              </w:rPr>
            </w:pPr>
            <w:r>
              <w:rPr>
                <w:rFonts w:cs="Arial"/>
                <w:sz w:val="20"/>
              </w:rPr>
              <w:t>General Expenses (</w:t>
            </w:r>
            <w:proofErr w:type="spellStart"/>
            <w:r>
              <w:rPr>
                <w:rFonts w:cs="Arial"/>
                <w:sz w:val="20"/>
              </w:rPr>
              <w:t>Inc</w:t>
            </w:r>
            <w:proofErr w:type="spellEnd"/>
            <w:r>
              <w:rPr>
                <w:rFonts w:cs="Arial"/>
                <w:sz w:val="20"/>
              </w:rPr>
              <w:t xml:space="preserve"> salaries)</w:t>
            </w:r>
          </w:p>
        </w:tc>
        <w:tc>
          <w:tcPr>
            <w:tcW w:w="1530" w:type="dxa"/>
          </w:tcPr>
          <w:p w:rsidR="00476733" w:rsidRPr="001437DE" w:rsidRDefault="00476733" w:rsidP="00C455B6">
            <w:pPr>
              <w:spacing w:line="0" w:lineRule="atLeast"/>
              <w:jc w:val="right"/>
              <w:rPr>
                <w:rFonts w:cs="Arial"/>
                <w:sz w:val="20"/>
              </w:rPr>
            </w:pPr>
            <w:r>
              <w:rPr>
                <w:rFonts w:cs="Arial"/>
                <w:sz w:val="20"/>
              </w:rPr>
              <w:t>377,109</w:t>
            </w:r>
          </w:p>
        </w:tc>
        <w:tc>
          <w:tcPr>
            <w:tcW w:w="1350" w:type="dxa"/>
          </w:tcPr>
          <w:p w:rsidR="00476733" w:rsidRPr="001437DE" w:rsidRDefault="00476733" w:rsidP="00C455B6">
            <w:pPr>
              <w:spacing w:line="0" w:lineRule="atLeast"/>
              <w:jc w:val="right"/>
              <w:rPr>
                <w:rFonts w:cs="Arial"/>
                <w:sz w:val="20"/>
              </w:rPr>
            </w:pPr>
            <w:r>
              <w:rPr>
                <w:rFonts w:cs="Arial"/>
                <w:sz w:val="20"/>
              </w:rPr>
              <w:t>381,104</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Recurrent Expenses</w:t>
            </w:r>
          </w:p>
        </w:tc>
        <w:tc>
          <w:tcPr>
            <w:tcW w:w="1530" w:type="dxa"/>
          </w:tcPr>
          <w:p w:rsidR="00476733" w:rsidRDefault="00476733" w:rsidP="00C455B6">
            <w:pPr>
              <w:spacing w:line="0" w:lineRule="atLeast"/>
              <w:jc w:val="right"/>
              <w:rPr>
                <w:rFonts w:cs="Arial"/>
                <w:sz w:val="20"/>
              </w:rPr>
            </w:pPr>
          </w:p>
        </w:tc>
        <w:tc>
          <w:tcPr>
            <w:tcW w:w="1350" w:type="dxa"/>
          </w:tcPr>
          <w:p w:rsidR="00476733" w:rsidRDefault="00476733" w:rsidP="00C455B6">
            <w:pPr>
              <w:spacing w:line="0" w:lineRule="atLeast"/>
              <w:jc w:val="right"/>
              <w:rPr>
                <w:rFonts w:cs="Arial"/>
                <w:sz w:val="20"/>
              </w:rPr>
            </w:pP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(a)</w:t>
            </w:r>
            <w:r>
              <w:rPr>
                <w:rFonts w:cs="Arial"/>
                <w:sz w:val="20"/>
              </w:rPr>
              <w:tab/>
              <w:t>Marina Pens</w:t>
            </w:r>
          </w:p>
        </w:tc>
        <w:tc>
          <w:tcPr>
            <w:tcW w:w="1530" w:type="dxa"/>
          </w:tcPr>
          <w:p w:rsidR="00476733" w:rsidRPr="001437DE" w:rsidRDefault="00476733" w:rsidP="00C455B6">
            <w:pPr>
              <w:spacing w:line="0" w:lineRule="atLeast"/>
              <w:jc w:val="right"/>
              <w:rPr>
                <w:rFonts w:cs="Arial"/>
                <w:sz w:val="20"/>
              </w:rPr>
            </w:pPr>
            <w:r>
              <w:rPr>
                <w:rFonts w:cs="Arial"/>
                <w:sz w:val="20"/>
              </w:rPr>
              <w:t>59,670</w:t>
            </w:r>
          </w:p>
        </w:tc>
        <w:tc>
          <w:tcPr>
            <w:tcW w:w="1350" w:type="dxa"/>
          </w:tcPr>
          <w:p w:rsidR="00476733" w:rsidRPr="001437DE" w:rsidRDefault="00476733" w:rsidP="00C455B6">
            <w:pPr>
              <w:spacing w:line="0" w:lineRule="atLeast"/>
              <w:jc w:val="right"/>
              <w:rPr>
                <w:rFonts w:cs="Arial"/>
                <w:sz w:val="20"/>
              </w:rPr>
            </w:pPr>
            <w:r>
              <w:rPr>
                <w:rFonts w:cs="Arial"/>
                <w:sz w:val="20"/>
              </w:rPr>
              <w:t>59,670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(b)</w:t>
            </w:r>
            <w:r>
              <w:rPr>
                <w:rFonts w:cs="Arial"/>
                <w:sz w:val="20"/>
              </w:rPr>
              <w:tab/>
              <w:t>Marina External (</w:t>
            </w:r>
            <w:proofErr w:type="spellStart"/>
            <w:r>
              <w:rPr>
                <w:rFonts w:cs="Arial"/>
                <w:sz w:val="20"/>
              </w:rPr>
              <w:t>inc.</w:t>
            </w:r>
            <w:proofErr w:type="spellEnd"/>
            <w:r>
              <w:rPr>
                <w:rFonts w:cs="Arial"/>
                <w:sz w:val="20"/>
              </w:rPr>
              <w:t xml:space="preserve"> Fishing Jetty)</w:t>
            </w:r>
          </w:p>
        </w:tc>
        <w:tc>
          <w:tcPr>
            <w:tcW w:w="1530" w:type="dxa"/>
          </w:tcPr>
          <w:p w:rsidR="00476733" w:rsidRDefault="00476733" w:rsidP="00C455B6">
            <w:pPr>
              <w:spacing w:line="0" w:lineRule="atLeast"/>
              <w:jc w:val="right"/>
              <w:rPr>
                <w:rFonts w:cs="Arial"/>
                <w:sz w:val="20"/>
              </w:rPr>
            </w:pPr>
            <w:r>
              <w:rPr>
                <w:rFonts w:cs="Arial"/>
                <w:sz w:val="20"/>
              </w:rPr>
              <w:t>33,618</w:t>
            </w:r>
          </w:p>
        </w:tc>
        <w:tc>
          <w:tcPr>
            <w:tcW w:w="1350" w:type="dxa"/>
          </w:tcPr>
          <w:p w:rsidR="00476733" w:rsidRDefault="00476733" w:rsidP="00C455B6">
            <w:pPr>
              <w:spacing w:line="0" w:lineRule="atLeast"/>
              <w:jc w:val="right"/>
              <w:rPr>
                <w:rFonts w:cs="Arial"/>
                <w:sz w:val="20"/>
              </w:rPr>
            </w:pPr>
            <w:r>
              <w:rPr>
                <w:rFonts w:cs="Arial"/>
                <w:sz w:val="20"/>
              </w:rPr>
              <w:t>51,720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(c)</w:t>
            </w:r>
            <w:r>
              <w:rPr>
                <w:rFonts w:cs="Arial"/>
                <w:sz w:val="20"/>
              </w:rPr>
              <w:tab/>
              <w:t>Marina Services Building</w:t>
            </w:r>
          </w:p>
        </w:tc>
        <w:tc>
          <w:tcPr>
            <w:tcW w:w="1530" w:type="dxa"/>
          </w:tcPr>
          <w:p w:rsidR="00476733" w:rsidRDefault="00476733" w:rsidP="00C455B6">
            <w:pPr>
              <w:spacing w:line="0" w:lineRule="atLeast"/>
              <w:jc w:val="right"/>
              <w:rPr>
                <w:rFonts w:cs="Arial"/>
                <w:sz w:val="20"/>
              </w:rPr>
            </w:pPr>
            <w:r>
              <w:rPr>
                <w:rFonts w:cs="Arial"/>
                <w:sz w:val="20"/>
              </w:rPr>
              <w:t>54,690</w:t>
            </w:r>
          </w:p>
        </w:tc>
        <w:tc>
          <w:tcPr>
            <w:tcW w:w="1350" w:type="dxa"/>
          </w:tcPr>
          <w:p w:rsidR="00476733" w:rsidRDefault="00476733" w:rsidP="00C455B6">
            <w:pPr>
              <w:spacing w:line="0" w:lineRule="atLeast"/>
              <w:jc w:val="right"/>
              <w:rPr>
                <w:rFonts w:cs="Arial"/>
                <w:sz w:val="20"/>
              </w:rPr>
            </w:pPr>
            <w:r>
              <w:rPr>
                <w:rFonts w:cs="Arial"/>
                <w:sz w:val="20"/>
              </w:rPr>
              <w:t>54,690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(d)</w:t>
            </w:r>
            <w:r>
              <w:rPr>
                <w:rFonts w:cs="Arial"/>
                <w:sz w:val="20"/>
              </w:rPr>
              <w:tab/>
              <w:t>Marina Groundwater Interception Device</w:t>
            </w:r>
          </w:p>
        </w:tc>
        <w:tc>
          <w:tcPr>
            <w:tcW w:w="1530" w:type="dxa"/>
          </w:tcPr>
          <w:p w:rsidR="00476733" w:rsidRDefault="00476733" w:rsidP="00C455B6">
            <w:pPr>
              <w:spacing w:line="0" w:lineRule="atLeast"/>
              <w:jc w:val="right"/>
              <w:rPr>
                <w:rFonts w:cs="Arial"/>
                <w:sz w:val="20"/>
              </w:rPr>
            </w:pPr>
            <w:r>
              <w:rPr>
                <w:rFonts w:cs="Arial"/>
                <w:sz w:val="20"/>
              </w:rPr>
              <w:t>0</w:t>
            </w:r>
          </w:p>
        </w:tc>
        <w:tc>
          <w:tcPr>
            <w:tcW w:w="1350" w:type="dxa"/>
          </w:tcPr>
          <w:p w:rsidR="00476733" w:rsidRDefault="00476733" w:rsidP="00C455B6">
            <w:pPr>
              <w:spacing w:line="0" w:lineRule="atLeast"/>
              <w:jc w:val="right"/>
              <w:rPr>
                <w:rFonts w:cs="Arial"/>
                <w:sz w:val="20"/>
              </w:rPr>
            </w:pPr>
            <w:r>
              <w:rPr>
                <w:rFonts w:cs="Arial"/>
                <w:sz w:val="20"/>
              </w:rPr>
              <w:t>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Non-Recurrent OP Expenses</w:t>
            </w:r>
          </w:p>
        </w:tc>
        <w:tc>
          <w:tcPr>
            <w:tcW w:w="1530" w:type="dxa"/>
          </w:tcPr>
          <w:p w:rsidR="00476733" w:rsidRDefault="00476733" w:rsidP="00C455B6">
            <w:pPr>
              <w:spacing w:line="0" w:lineRule="atLeast"/>
              <w:jc w:val="right"/>
              <w:rPr>
                <w:rFonts w:cs="Arial"/>
                <w:sz w:val="20"/>
              </w:rPr>
            </w:pPr>
            <w:r>
              <w:rPr>
                <w:rFonts w:cs="Arial"/>
                <w:sz w:val="20"/>
              </w:rPr>
              <w:t>71,750</w:t>
            </w:r>
          </w:p>
        </w:tc>
        <w:tc>
          <w:tcPr>
            <w:tcW w:w="1350" w:type="dxa"/>
          </w:tcPr>
          <w:p w:rsidR="00476733" w:rsidRDefault="00476733" w:rsidP="00C455B6">
            <w:pPr>
              <w:spacing w:line="0" w:lineRule="atLeast"/>
              <w:jc w:val="right"/>
              <w:rPr>
                <w:rFonts w:cs="Arial"/>
                <w:sz w:val="20"/>
              </w:rPr>
            </w:pPr>
            <w:r>
              <w:rPr>
                <w:rFonts w:cs="Arial"/>
                <w:sz w:val="20"/>
              </w:rPr>
              <w:t>71,750</w:t>
            </w:r>
          </w:p>
        </w:tc>
      </w:tr>
      <w:tr w:rsidR="00476733" w:rsidRPr="001437DE" w:rsidTr="00C455B6">
        <w:tc>
          <w:tcPr>
            <w:tcW w:w="4770" w:type="dxa"/>
          </w:tcPr>
          <w:p w:rsidR="00476733" w:rsidRDefault="00476733" w:rsidP="00C455B6">
            <w:pPr>
              <w:spacing w:line="0" w:lineRule="atLeast"/>
              <w:rPr>
                <w:rFonts w:cs="Arial"/>
                <w:sz w:val="20"/>
              </w:rPr>
            </w:pPr>
            <w:r>
              <w:rPr>
                <w:rFonts w:cs="Arial"/>
                <w:sz w:val="20"/>
              </w:rPr>
              <w:t>Depreciation</w:t>
            </w:r>
          </w:p>
        </w:tc>
        <w:tc>
          <w:tcPr>
            <w:tcW w:w="1530" w:type="dxa"/>
          </w:tcPr>
          <w:p w:rsidR="00476733" w:rsidRDefault="00476733" w:rsidP="00C455B6">
            <w:pPr>
              <w:spacing w:line="0" w:lineRule="atLeast"/>
              <w:jc w:val="right"/>
              <w:rPr>
                <w:rFonts w:cs="Arial"/>
                <w:sz w:val="20"/>
              </w:rPr>
            </w:pPr>
            <w:r>
              <w:rPr>
                <w:rFonts w:cs="Arial"/>
                <w:sz w:val="20"/>
              </w:rPr>
              <w:t>348,000</w:t>
            </w:r>
          </w:p>
        </w:tc>
        <w:tc>
          <w:tcPr>
            <w:tcW w:w="1350" w:type="dxa"/>
          </w:tcPr>
          <w:p w:rsidR="00476733" w:rsidRDefault="00476733" w:rsidP="00C455B6">
            <w:pPr>
              <w:spacing w:line="0" w:lineRule="atLeast"/>
              <w:jc w:val="right"/>
              <w:rPr>
                <w:rFonts w:cs="Arial"/>
                <w:sz w:val="20"/>
              </w:rPr>
            </w:pPr>
            <w:r>
              <w:rPr>
                <w:rFonts w:cs="Arial"/>
                <w:sz w:val="20"/>
              </w:rPr>
              <w:t>348,000</w:t>
            </w:r>
          </w:p>
        </w:tc>
      </w:tr>
      <w:tr w:rsidR="00476733" w:rsidRPr="001437DE" w:rsidTr="00C455B6">
        <w:tc>
          <w:tcPr>
            <w:tcW w:w="4770" w:type="dxa"/>
          </w:tcPr>
          <w:p w:rsidR="00476733" w:rsidRPr="001437DE" w:rsidRDefault="00476733" w:rsidP="00C455B6">
            <w:pPr>
              <w:spacing w:line="0" w:lineRule="atLeast"/>
              <w:rPr>
                <w:rFonts w:cs="Arial"/>
                <w:b/>
                <w:sz w:val="20"/>
              </w:rPr>
            </w:pPr>
            <w:r w:rsidRPr="001437DE">
              <w:rPr>
                <w:rFonts w:cs="Arial"/>
                <w:b/>
                <w:sz w:val="20"/>
              </w:rPr>
              <w:t>Total Expenditure</w:t>
            </w:r>
          </w:p>
        </w:tc>
        <w:tc>
          <w:tcPr>
            <w:tcW w:w="1530" w:type="dxa"/>
          </w:tcPr>
          <w:p w:rsidR="00476733" w:rsidRPr="001437DE" w:rsidRDefault="00476733" w:rsidP="00C455B6">
            <w:pPr>
              <w:spacing w:line="0" w:lineRule="atLeast"/>
              <w:jc w:val="right"/>
              <w:rPr>
                <w:rFonts w:cs="Arial"/>
                <w:b/>
                <w:sz w:val="20"/>
              </w:rPr>
            </w:pPr>
            <w:r w:rsidRPr="001437DE">
              <w:rPr>
                <w:rFonts w:cs="Arial"/>
                <w:b/>
                <w:sz w:val="20"/>
              </w:rPr>
              <w:t>944,837</w:t>
            </w:r>
          </w:p>
        </w:tc>
        <w:tc>
          <w:tcPr>
            <w:tcW w:w="1350" w:type="dxa"/>
          </w:tcPr>
          <w:p w:rsidR="00476733" w:rsidRPr="001437DE" w:rsidRDefault="00476733" w:rsidP="00C455B6">
            <w:pPr>
              <w:spacing w:line="0" w:lineRule="atLeast"/>
              <w:jc w:val="right"/>
              <w:rPr>
                <w:rFonts w:cs="Arial"/>
                <w:b/>
                <w:sz w:val="20"/>
              </w:rPr>
            </w:pPr>
            <w:r w:rsidRPr="001437DE">
              <w:rPr>
                <w:rFonts w:cs="Arial"/>
                <w:b/>
                <w:sz w:val="20"/>
              </w:rPr>
              <w:t>966,934</w:t>
            </w:r>
          </w:p>
        </w:tc>
      </w:tr>
      <w:tr w:rsidR="00476733" w:rsidRPr="001437DE" w:rsidTr="00C455B6">
        <w:tc>
          <w:tcPr>
            <w:tcW w:w="4770" w:type="dxa"/>
          </w:tcPr>
          <w:p w:rsidR="00476733" w:rsidRPr="001437DE" w:rsidRDefault="00476733" w:rsidP="00C455B6">
            <w:pPr>
              <w:spacing w:line="0" w:lineRule="atLeast"/>
              <w:rPr>
                <w:rFonts w:cs="Arial"/>
                <w:b/>
                <w:sz w:val="20"/>
              </w:rPr>
            </w:pPr>
          </w:p>
        </w:tc>
        <w:tc>
          <w:tcPr>
            <w:tcW w:w="1530" w:type="dxa"/>
          </w:tcPr>
          <w:p w:rsidR="00476733" w:rsidRPr="001437DE" w:rsidRDefault="00476733" w:rsidP="00C455B6">
            <w:pPr>
              <w:spacing w:line="0" w:lineRule="atLeast"/>
              <w:jc w:val="right"/>
              <w:rPr>
                <w:rFonts w:cs="Arial"/>
                <w:b/>
                <w:sz w:val="20"/>
              </w:rPr>
            </w:pPr>
          </w:p>
        </w:tc>
        <w:tc>
          <w:tcPr>
            <w:tcW w:w="1350" w:type="dxa"/>
          </w:tcPr>
          <w:p w:rsidR="00476733" w:rsidRPr="001437DE" w:rsidRDefault="00476733" w:rsidP="00C455B6">
            <w:pPr>
              <w:spacing w:line="0" w:lineRule="atLeast"/>
              <w:jc w:val="right"/>
              <w:rPr>
                <w:rFonts w:cs="Arial"/>
                <w:b/>
                <w:sz w:val="20"/>
              </w:rPr>
            </w:pPr>
          </w:p>
        </w:tc>
      </w:tr>
      <w:tr w:rsidR="00476733" w:rsidRPr="001437DE" w:rsidTr="00C455B6">
        <w:tc>
          <w:tcPr>
            <w:tcW w:w="4770" w:type="dxa"/>
          </w:tcPr>
          <w:p w:rsidR="00476733" w:rsidRPr="001437DE" w:rsidRDefault="00476733" w:rsidP="00C455B6">
            <w:pPr>
              <w:spacing w:line="0" w:lineRule="atLeast"/>
              <w:rPr>
                <w:rFonts w:cs="Arial"/>
                <w:b/>
                <w:sz w:val="20"/>
              </w:rPr>
            </w:pPr>
            <w:r>
              <w:rPr>
                <w:rFonts w:cs="Arial"/>
                <w:b/>
                <w:sz w:val="20"/>
              </w:rPr>
              <w:t>Operating Surplus – Part Occupancy</w:t>
            </w:r>
          </w:p>
        </w:tc>
        <w:tc>
          <w:tcPr>
            <w:tcW w:w="1530" w:type="dxa"/>
          </w:tcPr>
          <w:p w:rsidR="00476733" w:rsidRPr="001437DE" w:rsidRDefault="00476733" w:rsidP="00C455B6">
            <w:pPr>
              <w:spacing w:line="0" w:lineRule="atLeast"/>
              <w:jc w:val="right"/>
              <w:rPr>
                <w:rFonts w:cs="Arial"/>
                <w:b/>
                <w:sz w:val="20"/>
              </w:rPr>
            </w:pPr>
            <w:r>
              <w:rPr>
                <w:rFonts w:cs="Arial"/>
                <w:b/>
                <w:sz w:val="20"/>
              </w:rPr>
              <w:t>$12,663</w:t>
            </w:r>
          </w:p>
        </w:tc>
        <w:tc>
          <w:tcPr>
            <w:tcW w:w="1350" w:type="dxa"/>
          </w:tcPr>
          <w:p w:rsidR="00476733" w:rsidRPr="001437DE" w:rsidRDefault="00476733" w:rsidP="00C455B6">
            <w:pPr>
              <w:spacing w:line="0" w:lineRule="atLeast"/>
              <w:jc w:val="right"/>
              <w:rPr>
                <w:rFonts w:cs="Arial"/>
                <w:b/>
                <w:sz w:val="20"/>
              </w:rPr>
            </w:pPr>
            <w:r>
              <w:rPr>
                <w:rFonts w:cs="Arial"/>
                <w:b/>
                <w:sz w:val="20"/>
              </w:rPr>
              <w:t>$14,153</w:t>
            </w:r>
          </w:p>
        </w:tc>
      </w:tr>
    </w:tbl>
    <w:p w:rsidR="00476733" w:rsidRPr="001437DE" w:rsidRDefault="00476733" w:rsidP="00C455B6">
      <w:pPr>
        <w:spacing w:line="0" w:lineRule="atLeast"/>
        <w:ind w:left="720" w:firstLine="720"/>
        <w:rPr>
          <w:rFonts w:cs="Arial"/>
          <w:b/>
          <w:i/>
          <w:sz w:val="20"/>
        </w:rPr>
      </w:pPr>
    </w:p>
    <w:p w:rsidR="00476733" w:rsidRPr="00372FCF" w:rsidRDefault="00476733" w:rsidP="00C455B6">
      <w:pPr>
        <w:spacing w:line="0" w:lineRule="atLeast"/>
        <w:ind w:left="720" w:firstLine="720"/>
        <w:rPr>
          <w:rFonts w:cs="Arial"/>
          <w:szCs w:val="24"/>
          <w:u w:val="single"/>
        </w:rPr>
      </w:pPr>
      <w:r w:rsidRPr="00372FCF">
        <w:rPr>
          <w:rFonts w:cs="Arial"/>
          <w:szCs w:val="24"/>
          <w:u w:val="single"/>
        </w:rPr>
        <w:t>Cockburn ARC</w:t>
      </w:r>
    </w:p>
    <w:p w:rsidR="00476733" w:rsidRDefault="00476733" w:rsidP="00C455B6">
      <w:pPr>
        <w:spacing w:line="0" w:lineRule="atLeast"/>
        <w:ind w:left="1440"/>
        <w:rPr>
          <w:rFonts w:cs="Arial"/>
          <w:szCs w:val="24"/>
        </w:rPr>
      </w:pPr>
    </w:p>
    <w:p w:rsidR="00476733" w:rsidRDefault="00476733" w:rsidP="00C455B6">
      <w:pPr>
        <w:spacing w:line="0" w:lineRule="atLeast"/>
        <w:ind w:left="1440"/>
        <w:rPr>
          <w:rFonts w:cs="Arial"/>
          <w:szCs w:val="24"/>
        </w:rPr>
      </w:pPr>
      <w:r>
        <w:rPr>
          <w:rFonts w:cs="Arial"/>
          <w:szCs w:val="24"/>
        </w:rPr>
        <w:t xml:space="preserve">The Centre is scheduled to open around April 2017. The facility will have cost $109m and is a joint collaboration between the City and the Fremantle Football Club. The Centre will also include space dedicated to Curtin University. The City commissioned Warren Green Consulting to prepare a Business Operations and Management Plan for the Centre and this is available on the City website at: </w:t>
      </w:r>
      <w:hyperlink r:id="rId13" w:history="1">
        <w:proofErr w:type="spellStart"/>
        <w:r w:rsidRPr="00181DEB">
          <w:rPr>
            <w:rStyle w:val="Hyperlink"/>
            <w:rFonts w:cs="Arial"/>
            <w:szCs w:val="24"/>
          </w:rPr>
          <w:t>www.cockburn.wa.gov.au</w:t>
        </w:r>
        <w:proofErr w:type="spellEnd"/>
        <w:r w:rsidRPr="00181DEB">
          <w:rPr>
            <w:rStyle w:val="Hyperlink"/>
            <w:rFonts w:cs="Arial"/>
            <w:szCs w:val="24"/>
          </w:rPr>
          <w:t>/</w:t>
        </w:r>
        <w:proofErr w:type="spellStart"/>
        <w:r w:rsidRPr="00181DEB">
          <w:rPr>
            <w:rStyle w:val="Hyperlink"/>
            <w:rFonts w:cs="Arial"/>
            <w:szCs w:val="24"/>
          </w:rPr>
          <w:t>rpaec</w:t>
        </w:r>
        <w:proofErr w:type="spellEnd"/>
        <w:r w:rsidRPr="00181DEB">
          <w:rPr>
            <w:rStyle w:val="Hyperlink"/>
            <w:rFonts w:cs="Arial"/>
            <w:szCs w:val="24"/>
          </w:rPr>
          <w:t>/</w:t>
        </w:r>
        <w:proofErr w:type="spellStart"/>
        <w:r w:rsidRPr="00181DEB">
          <w:rPr>
            <w:rStyle w:val="Hyperlink"/>
            <w:rFonts w:cs="Arial"/>
            <w:szCs w:val="24"/>
          </w:rPr>
          <w:t>businessplan</w:t>
        </w:r>
        <w:proofErr w:type="spellEnd"/>
      </w:hyperlink>
      <w:r>
        <w:rPr>
          <w:rFonts w:cs="Arial"/>
          <w:szCs w:val="24"/>
        </w:rPr>
        <w:t xml:space="preserve">.  The City will self-manage the Centre and will not privatise the operations of the centre other than the café </w:t>
      </w:r>
    </w:p>
    <w:p w:rsidR="00476733" w:rsidRDefault="00476733" w:rsidP="00C455B6">
      <w:pPr>
        <w:spacing w:line="0" w:lineRule="atLeast"/>
        <w:ind w:left="1440"/>
        <w:rPr>
          <w:rFonts w:cs="Arial"/>
          <w:szCs w:val="24"/>
        </w:rPr>
      </w:pPr>
    </w:p>
    <w:p w:rsidR="00476733" w:rsidRDefault="00476733" w:rsidP="00C455B6">
      <w:pPr>
        <w:spacing w:line="0" w:lineRule="atLeast"/>
        <w:ind w:left="1440"/>
        <w:rPr>
          <w:rFonts w:cs="Arial"/>
          <w:szCs w:val="24"/>
        </w:rPr>
      </w:pPr>
      <w:r w:rsidRPr="00FC7CB9">
        <w:rPr>
          <w:rFonts w:cs="Arial"/>
          <w:szCs w:val="24"/>
        </w:rPr>
        <w:t>The South Lakes Leisure Centre (</w:t>
      </w:r>
      <w:proofErr w:type="spellStart"/>
      <w:r w:rsidRPr="00FC7CB9">
        <w:rPr>
          <w:rFonts w:cs="Arial"/>
          <w:szCs w:val="24"/>
        </w:rPr>
        <w:t>SLLC</w:t>
      </w:r>
      <w:proofErr w:type="spellEnd"/>
      <w:r w:rsidRPr="00FC7CB9">
        <w:rPr>
          <w:rFonts w:cs="Arial"/>
          <w:szCs w:val="24"/>
        </w:rPr>
        <w:t xml:space="preserve">) will be decommissioned in 2016/17. The budget contains an amount of $200,000 to decommission the facility. At the same time, the </w:t>
      </w:r>
      <w:proofErr w:type="spellStart"/>
      <w:r w:rsidRPr="00FC7CB9">
        <w:rPr>
          <w:rFonts w:cs="Arial"/>
          <w:szCs w:val="24"/>
        </w:rPr>
        <w:t>CIty</w:t>
      </w:r>
      <w:proofErr w:type="spellEnd"/>
      <w:r w:rsidRPr="00FC7CB9">
        <w:rPr>
          <w:rFonts w:cs="Arial"/>
          <w:szCs w:val="24"/>
        </w:rPr>
        <w:t xml:space="preserve"> is discussing the gifting of the decommissioned facility to the Education Department of WA. As a result of the potential gifting of the asset, the </w:t>
      </w:r>
      <w:proofErr w:type="spellStart"/>
      <w:r w:rsidRPr="00FC7CB9">
        <w:rPr>
          <w:rFonts w:cs="Arial"/>
          <w:szCs w:val="24"/>
        </w:rPr>
        <w:t>CIty</w:t>
      </w:r>
      <w:proofErr w:type="spellEnd"/>
      <w:r w:rsidRPr="00FC7CB9">
        <w:rPr>
          <w:rFonts w:cs="Arial"/>
          <w:szCs w:val="24"/>
        </w:rPr>
        <w:t xml:space="preserve"> will need to write-off the remaining value of the asset of approximately $3.3m. This write-off will be reflected in the Financial Statements for 2016/17 subject to determination by Council and confirmation by Council's external auditors for which Council Officers are in discussions about the correct treatment.</w:t>
      </w:r>
    </w:p>
    <w:p w:rsidR="00476733" w:rsidRDefault="00476733" w:rsidP="00C455B6">
      <w:pPr>
        <w:spacing w:line="0" w:lineRule="atLeast"/>
        <w:ind w:left="1440"/>
        <w:rPr>
          <w:rFonts w:cs="Arial"/>
          <w:szCs w:val="24"/>
        </w:rPr>
      </w:pPr>
    </w:p>
    <w:p w:rsidR="00476733" w:rsidRDefault="00476733" w:rsidP="00C455B6">
      <w:pPr>
        <w:spacing w:line="0" w:lineRule="atLeast"/>
        <w:ind w:left="1440"/>
        <w:rPr>
          <w:rFonts w:cs="Arial"/>
          <w:szCs w:val="24"/>
        </w:rPr>
      </w:pPr>
      <w:r>
        <w:rPr>
          <w:rFonts w:cs="Arial"/>
          <w:szCs w:val="24"/>
        </w:rPr>
        <w:t>The following table highlights the financial impact of the centre. The costs do not contain the depreciation charge for the centre.</w:t>
      </w:r>
    </w:p>
    <w:p w:rsidR="00476733" w:rsidRDefault="00476733" w:rsidP="00C455B6">
      <w:pPr>
        <w:spacing w:line="0" w:lineRule="atLeast"/>
        <w:rPr>
          <w:rFonts w:cs="Arial"/>
          <w:i/>
          <w:sz w:val="20"/>
        </w:rPr>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t xml:space="preserve">Table </w:t>
      </w:r>
      <w:r>
        <w:rPr>
          <w:rFonts w:ascii="Bookman Old Style" w:hAnsi="Bookman Old Style"/>
          <w:i/>
          <w:sz w:val="20"/>
        </w:rPr>
        <w:t>9</w:t>
      </w:r>
      <w:r w:rsidRPr="00360F32">
        <w:rPr>
          <w:rFonts w:ascii="Bookman Old Style" w:hAnsi="Bookman Old Style"/>
          <w:i/>
          <w:sz w:val="20"/>
        </w:rPr>
        <w:t xml:space="preserve"> – Cockburn ARC Business Plan Financials 2017 to 2020</w:t>
      </w:r>
    </w:p>
    <w:tbl>
      <w:tblPr>
        <w:tblStyle w:val="TableGrid"/>
        <w:tblW w:w="0" w:type="auto"/>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3565"/>
        <w:gridCol w:w="988"/>
        <w:gridCol w:w="1078"/>
        <w:gridCol w:w="1078"/>
        <w:gridCol w:w="986"/>
      </w:tblGrid>
      <w:tr w:rsidR="00476733" w:rsidRPr="001437DE" w:rsidTr="00C455B6">
        <w:trPr>
          <w:tblHeader/>
        </w:trPr>
        <w:tc>
          <w:tcPr>
            <w:tcW w:w="360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p>
        </w:tc>
        <w:tc>
          <w:tcPr>
            <w:tcW w:w="99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Year 1</w:t>
            </w:r>
          </w:p>
        </w:tc>
        <w:tc>
          <w:tcPr>
            <w:tcW w:w="108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Year 2</w:t>
            </w:r>
          </w:p>
        </w:tc>
        <w:tc>
          <w:tcPr>
            <w:tcW w:w="1080"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Year 3</w:t>
            </w:r>
          </w:p>
        </w:tc>
        <w:tc>
          <w:tcPr>
            <w:tcW w:w="989" w:type="dxa"/>
            <w:tcBorders>
              <w:top w:val="double" w:sz="4" w:space="0" w:color="auto"/>
              <w:bottom w:val="double" w:sz="4" w:space="0" w:color="auto"/>
            </w:tcBorders>
            <w:vAlign w:val="center"/>
          </w:tcPr>
          <w:p w:rsidR="00476733" w:rsidRPr="001437DE" w:rsidRDefault="00476733" w:rsidP="00C455B6">
            <w:pPr>
              <w:spacing w:line="0" w:lineRule="atLeast"/>
              <w:jc w:val="center"/>
              <w:rPr>
                <w:rFonts w:cs="Arial"/>
                <w:b/>
                <w:sz w:val="20"/>
              </w:rPr>
            </w:pPr>
            <w:r w:rsidRPr="001437DE">
              <w:rPr>
                <w:rFonts w:cs="Arial"/>
                <w:b/>
                <w:sz w:val="20"/>
              </w:rPr>
              <w:t>Year 4</w:t>
            </w:r>
          </w:p>
        </w:tc>
      </w:tr>
      <w:tr w:rsidR="00476733" w:rsidRPr="001437DE" w:rsidTr="00C455B6">
        <w:tc>
          <w:tcPr>
            <w:tcW w:w="3600" w:type="dxa"/>
            <w:tcBorders>
              <w:top w:val="double" w:sz="4" w:space="0" w:color="auto"/>
            </w:tcBorders>
          </w:tcPr>
          <w:p w:rsidR="00476733" w:rsidRPr="001437DE" w:rsidRDefault="00476733" w:rsidP="00C455B6">
            <w:pPr>
              <w:spacing w:line="0" w:lineRule="atLeast"/>
              <w:rPr>
                <w:rFonts w:cs="Arial"/>
                <w:sz w:val="20"/>
                <w:u w:val="single"/>
              </w:rPr>
            </w:pPr>
            <w:r w:rsidRPr="001437DE">
              <w:rPr>
                <w:rFonts w:cs="Arial"/>
                <w:sz w:val="20"/>
                <w:u w:val="single"/>
              </w:rPr>
              <w:t>Income</w:t>
            </w:r>
          </w:p>
        </w:tc>
        <w:tc>
          <w:tcPr>
            <w:tcW w:w="990" w:type="dxa"/>
            <w:tcBorders>
              <w:top w:val="double" w:sz="4" w:space="0" w:color="auto"/>
            </w:tcBorders>
          </w:tcPr>
          <w:p w:rsidR="00476733" w:rsidRDefault="00476733" w:rsidP="00C455B6">
            <w:pPr>
              <w:tabs>
                <w:tab w:val="decimal" w:pos="342"/>
              </w:tabs>
              <w:spacing w:line="0" w:lineRule="atLeast"/>
              <w:rPr>
                <w:rFonts w:cs="Arial"/>
                <w:sz w:val="20"/>
              </w:rPr>
            </w:pPr>
          </w:p>
        </w:tc>
        <w:tc>
          <w:tcPr>
            <w:tcW w:w="1080" w:type="dxa"/>
            <w:tcBorders>
              <w:top w:val="double" w:sz="4" w:space="0" w:color="auto"/>
            </w:tcBorders>
          </w:tcPr>
          <w:p w:rsidR="00476733" w:rsidRDefault="00476733" w:rsidP="00C455B6">
            <w:pPr>
              <w:tabs>
                <w:tab w:val="decimal" w:pos="447"/>
              </w:tabs>
              <w:spacing w:line="0" w:lineRule="atLeast"/>
              <w:rPr>
                <w:rFonts w:cs="Arial"/>
                <w:sz w:val="20"/>
              </w:rPr>
            </w:pPr>
          </w:p>
        </w:tc>
        <w:tc>
          <w:tcPr>
            <w:tcW w:w="1080" w:type="dxa"/>
            <w:tcBorders>
              <w:top w:val="double" w:sz="4" w:space="0" w:color="auto"/>
            </w:tcBorders>
          </w:tcPr>
          <w:p w:rsidR="00476733" w:rsidRDefault="00476733" w:rsidP="00C455B6">
            <w:pPr>
              <w:tabs>
                <w:tab w:val="decimal" w:pos="447"/>
              </w:tabs>
              <w:spacing w:line="0" w:lineRule="atLeast"/>
              <w:rPr>
                <w:rFonts w:cs="Arial"/>
                <w:sz w:val="20"/>
              </w:rPr>
            </w:pPr>
          </w:p>
        </w:tc>
        <w:tc>
          <w:tcPr>
            <w:tcW w:w="989" w:type="dxa"/>
            <w:tcBorders>
              <w:top w:val="double" w:sz="4" w:space="0" w:color="auto"/>
            </w:tcBorders>
          </w:tcPr>
          <w:p w:rsidR="00476733" w:rsidRDefault="00476733" w:rsidP="00C455B6">
            <w:pPr>
              <w:tabs>
                <w:tab w:val="decimal" w:pos="447"/>
              </w:tabs>
              <w:spacing w:line="0" w:lineRule="atLeast"/>
              <w:rPr>
                <w:rFonts w:cs="Arial"/>
                <w:sz w:val="20"/>
              </w:rPr>
            </w:pPr>
          </w:p>
        </w:tc>
      </w:tr>
      <w:tr w:rsidR="00476733" w:rsidRPr="001437DE" w:rsidTr="00C455B6">
        <w:tc>
          <w:tcPr>
            <w:tcW w:w="3600" w:type="dxa"/>
          </w:tcPr>
          <w:p w:rsidR="00476733" w:rsidRPr="001437DE" w:rsidRDefault="00476733" w:rsidP="00C455B6">
            <w:pPr>
              <w:spacing w:line="0" w:lineRule="atLeast"/>
              <w:rPr>
                <w:rFonts w:cs="Arial"/>
                <w:sz w:val="20"/>
              </w:rPr>
            </w:pPr>
            <w:r>
              <w:rPr>
                <w:rFonts w:cs="Arial"/>
                <w:sz w:val="20"/>
              </w:rPr>
              <w:t>Administration &amp; Customer Service</w:t>
            </w:r>
          </w:p>
        </w:tc>
        <w:tc>
          <w:tcPr>
            <w:tcW w:w="990" w:type="dxa"/>
          </w:tcPr>
          <w:p w:rsidR="00476733" w:rsidRPr="001437DE" w:rsidRDefault="00476733" w:rsidP="00C455B6">
            <w:pPr>
              <w:tabs>
                <w:tab w:val="decimal" w:pos="342"/>
              </w:tabs>
              <w:spacing w:line="0" w:lineRule="atLeast"/>
              <w:rPr>
                <w:rFonts w:cs="Arial"/>
                <w:sz w:val="20"/>
              </w:rPr>
            </w:pPr>
            <w:r>
              <w:rPr>
                <w:rFonts w:cs="Arial"/>
                <w:sz w:val="20"/>
              </w:rPr>
              <w:t>0.45</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0.48</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0.52</w:t>
            </w:r>
          </w:p>
        </w:tc>
        <w:tc>
          <w:tcPr>
            <w:tcW w:w="989" w:type="dxa"/>
          </w:tcPr>
          <w:p w:rsidR="00476733" w:rsidRPr="001437DE" w:rsidRDefault="00476733" w:rsidP="00C455B6">
            <w:pPr>
              <w:tabs>
                <w:tab w:val="decimal" w:pos="342"/>
              </w:tabs>
              <w:spacing w:line="0" w:lineRule="atLeast"/>
              <w:rPr>
                <w:rFonts w:cs="Arial"/>
                <w:sz w:val="20"/>
              </w:rPr>
            </w:pPr>
            <w:r>
              <w:rPr>
                <w:rFonts w:cs="Arial"/>
                <w:sz w:val="20"/>
              </w:rPr>
              <w:t>0.54</w:t>
            </w:r>
          </w:p>
        </w:tc>
      </w:tr>
      <w:tr w:rsidR="00476733" w:rsidRPr="001437DE" w:rsidTr="00C455B6">
        <w:tc>
          <w:tcPr>
            <w:tcW w:w="3600" w:type="dxa"/>
          </w:tcPr>
          <w:p w:rsidR="00476733" w:rsidRPr="001437DE" w:rsidRDefault="00476733" w:rsidP="00C455B6">
            <w:pPr>
              <w:spacing w:line="0" w:lineRule="atLeast"/>
              <w:rPr>
                <w:rFonts w:cs="Arial"/>
                <w:sz w:val="20"/>
              </w:rPr>
            </w:pPr>
            <w:r>
              <w:rPr>
                <w:rFonts w:cs="Arial"/>
                <w:sz w:val="20"/>
              </w:rPr>
              <w:t>Aquatics</w:t>
            </w:r>
          </w:p>
        </w:tc>
        <w:tc>
          <w:tcPr>
            <w:tcW w:w="990" w:type="dxa"/>
          </w:tcPr>
          <w:p w:rsidR="00476733" w:rsidRPr="001437DE" w:rsidRDefault="00476733" w:rsidP="00C455B6">
            <w:pPr>
              <w:tabs>
                <w:tab w:val="decimal" w:pos="342"/>
              </w:tabs>
              <w:spacing w:line="0" w:lineRule="atLeast"/>
              <w:rPr>
                <w:rFonts w:cs="Arial"/>
                <w:sz w:val="20"/>
              </w:rPr>
            </w:pPr>
            <w:r>
              <w:rPr>
                <w:rFonts w:cs="Arial"/>
                <w:sz w:val="20"/>
              </w:rPr>
              <w:t>3.07</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3.35</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3.64</w:t>
            </w:r>
          </w:p>
        </w:tc>
        <w:tc>
          <w:tcPr>
            <w:tcW w:w="989" w:type="dxa"/>
          </w:tcPr>
          <w:p w:rsidR="00476733" w:rsidRPr="001437DE" w:rsidRDefault="00476733" w:rsidP="00C455B6">
            <w:pPr>
              <w:tabs>
                <w:tab w:val="decimal" w:pos="342"/>
              </w:tabs>
              <w:spacing w:line="0" w:lineRule="atLeast"/>
              <w:rPr>
                <w:rFonts w:cs="Arial"/>
                <w:sz w:val="20"/>
              </w:rPr>
            </w:pPr>
            <w:r>
              <w:rPr>
                <w:rFonts w:cs="Arial"/>
                <w:sz w:val="20"/>
              </w:rPr>
              <w:t>3.75</w:t>
            </w:r>
          </w:p>
        </w:tc>
      </w:tr>
      <w:tr w:rsidR="00476733" w:rsidRPr="001437DE" w:rsidTr="00C455B6">
        <w:tc>
          <w:tcPr>
            <w:tcW w:w="3600" w:type="dxa"/>
          </w:tcPr>
          <w:p w:rsidR="00476733" w:rsidRPr="001437DE" w:rsidRDefault="00476733" w:rsidP="00C455B6">
            <w:pPr>
              <w:spacing w:line="0" w:lineRule="atLeast"/>
              <w:rPr>
                <w:rFonts w:cs="Arial"/>
                <w:sz w:val="20"/>
              </w:rPr>
            </w:pPr>
            <w:r>
              <w:rPr>
                <w:rFonts w:cs="Arial"/>
                <w:sz w:val="20"/>
              </w:rPr>
              <w:t>Operations</w:t>
            </w:r>
          </w:p>
        </w:tc>
        <w:tc>
          <w:tcPr>
            <w:tcW w:w="990" w:type="dxa"/>
          </w:tcPr>
          <w:p w:rsidR="00476733" w:rsidRPr="001437DE" w:rsidRDefault="00476733" w:rsidP="00C455B6">
            <w:pPr>
              <w:tabs>
                <w:tab w:val="decimal" w:pos="342"/>
              </w:tabs>
              <w:spacing w:line="0" w:lineRule="atLeast"/>
              <w:rPr>
                <w:rFonts w:cs="Arial"/>
                <w:sz w:val="20"/>
              </w:rPr>
            </w:pPr>
            <w:r>
              <w:rPr>
                <w:rFonts w:cs="Arial"/>
                <w:sz w:val="20"/>
              </w:rPr>
              <w:t>0.03</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0.02</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0.02</w:t>
            </w:r>
          </w:p>
        </w:tc>
        <w:tc>
          <w:tcPr>
            <w:tcW w:w="989" w:type="dxa"/>
          </w:tcPr>
          <w:p w:rsidR="00476733" w:rsidRPr="001437DE" w:rsidRDefault="00476733" w:rsidP="00C455B6">
            <w:pPr>
              <w:tabs>
                <w:tab w:val="decimal" w:pos="342"/>
              </w:tabs>
              <w:spacing w:line="0" w:lineRule="atLeast"/>
              <w:rPr>
                <w:rFonts w:cs="Arial"/>
                <w:sz w:val="20"/>
              </w:rPr>
            </w:pPr>
            <w:r>
              <w:rPr>
                <w:rFonts w:cs="Arial"/>
                <w:sz w:val="20"/>
              </w:rPr>
              <w:t>0.02</w:t>
            </w:r>
          </w:p>
        </w:tc>
      </w:tr>
      <w:tr w:rsidR="00476733" w:rsidRPr="001437DE" w:rsidTr="00C455B6">
        <w:tc>
          <w:tcPr>
            <w:tcW w:w="3600" w:type="dxa"/>
          </w:tcPr>
          <w:p w:rsidR="00476733" w:rsidRPr="001437DE" w:rsidRDefault="00476733" w:rsidP="00C455B6">
            <w:pPr>
              <w:spacing w:line="0" w:lineRule="atLeast"/>
              <w:rPr>
                <w:rFonts w:cs="Arial"/>
                <w:sz w:val="20"/>
              </w:rPr>
            </w:pPr>
            <w:r>
              <w:rPr>
                <w:rFonts w:cs="Arial"/>
                <w:sz w:val="20"/>
              </w:rPr>
              <w:t>Sales &amp; Marketing</w:t>
            </w:r>
          </w:p>
        </w:tc>
        <w:tc>
          <w:tcPr>
            <w:tcW w:w="990" w:type="dxa"/>
          </w:tcPr>
          <w:p w:rsidR="00476733" w:rsidRPr="001437DE" w:rsidRDefault="00476733" w:rsidP="00C455B6">
            <w:pPr>
              <w:tabs>
                <w:tab w:val="decimal" w:pos="342"/>
              </w:tabs>
              <w:spacing w:line="0" w:lineRule="atLeast"/>
              <w:rPr>
                <w:rFonts w:cs="Arial"/>
                <w:sz w:val="20"/>
              </w:rPr>
            </w:pPr>
            <w:r>
              <w:rPr>
                <w:rFonts w:cs="Arial"/>
                <w:sz w:val="20"/>
              </w:rPr>
              <w:t>2.32</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2.87</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3.12</w:t>
            </w:r>
          </w:p>
        </w:tc>
        <w:tc>
          <w:tcPr>
            <w:tcW w:w="989" w:type="dxa"/>
          </w:tcPr>
          <w:p w:rsidR="00476733" w:rsidRPr="001437DE" w:rsidRDefault="00476733" w:rsidP="00C455B6">
            <w:pPr>
              <w:tabs>
                <w:tab w:val="decimal" w:pos="342"/>
              </w:tabs>
              <w:spacing w:line="0" w:lineRule="atLeast"/>
              <w:rPr>
                <w:rFonts w:cs="Arial"/>
                <w:sz w:val="20"/>
              </w:rPr>
            </w:pPr>
            <w:r>
              <w:rPr>
                <w:rFonts w:cs="Arial"/>
                <w:sz w:val="20"/>
              </w:rPr>
              <w:t>3.33</w:t>
            </w:r>
          </w:p>
        </w:tc>
      </w:tr>
      <w:tr w:rsidR="00476733" w:rsidRPr="001437DE" w:rsidTr="00C455B6">
        <w:tc>
          <w:tcPr>
            <w:tcW w:w="3600" w:type="dxa"/>
          </w:tcPr>
          <w:p w:rsidR="00476733" w:rsidRPr="001437DE" w:rsidRDefault="00476733" w:rsidP="00C455B6">
            <w:pPr>
              <w:spacing w:line="0" w:lineRule="atLeast"/>
              <w:rPr>
                <w:rFonts w:cs="Arial"/>
                <w:sz w:val="20"/>
              </w:rPr>
            </w:pPr>
            <w:r>
              <w:rPr>
                <w:rFonts w:cs="Arial"/>
                <w:sz w:val="20"/>
              </w:rPr>
              <w:lastRenderedPageBreak/>
              <w:t>Sport, Health &amp; Wellness</w:t>
            </w:r>
          </w:p>
        </w:tc>
        <w:tc>
          <w:tcPr>
            <w:tcW w:w="990" w:type="dxa"/>
          </w:tcPr>
          <w:p w:rsidR="00476733" w:rsidRPr="001437DE" w:rsidRDefault="00476733" w:rsidP="00C455B6">
            <w:pPr>
              <w:tabs>
                <w:tab w:val="decimal" w:pos="342"/>
              </w:tabs>
              <w:spacing w:line="0" w:lineRule="atLeast"/>
              <w:rPr>
                <w:rFonts w:cs="Arial"/>
                <w:sz w:val="20"/>
              </w:rPr>
            </w:pPr>
            <w:r>
              <w:rPr>
                <w:rFonts w:cs="Arial"/>
                <w:sz w:val="20"/>
              </w:rPr>
              <w:t>1.17</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1.44</w:t>
            </w:r>
          </w:p>
        </w:tc>
        <w:tc>
          <w:tcPr>
            <w:tcW w:w="1080" w:type="dxa"/>
          </w:tcPr>
          <w:p w:rsidR="00476733" w:rsidRPr="001437DE" w:rsidRDefault="00476733" w:rsidP="00C455B6">
            <w:pPr>
              <w:tabs>
                <w:tab w:val="decimal" w:pos="447"/>
              </w:tabs>
              <w:spacing w:line="0" w:lineRule="atLeast"/>
              <w:rPr>
                <w:rFonts w:cs="Arial"/>
                <w:sz w:val="20"/>
              </w:rPr>
            </w:pPr>
            <w:r>
              <w:rPr>
                <w:rFonts w:cs="Arial"/>
                <w:sz w:val="20"/>
              </w:rPr>
              <w:t>1.68</w:t>
            </w:r>
          </w:p>
        </w:tc>
        <w:tc>
          <w:tcPr>
            <w:tcW w:w="989" w:type="dxa"/>
          </w:tcPr>
          <w:p w:rsidR="00476733" w:rsidRPr="001437DE" w:rsidRDefault="00476733" w:rsidP="00C455B6">
            <w:pPr>
              <w:tabs>
                <w:tab w:val="decimal" w:pos="342"/>
              </w:tabs>
              <w:spacing w:line="0" w:lineRule="atLeast"/>
              <w:rPr>
                <w:rFonts w:cs="Arial"/>
                <w:sz w:val="20"/>
              </w:rPr>
            </w:pPr>
            <w:r>
              <w:rPr>
                <w:rFonts w:cs="Arial"/>
                <w:sz w:val="20"/>
              </w:rPr>
              <w:t>1.92</w:t>
            </w:r>
          </w:p>
        </w:tc>
      </w:tr>
      <w:tr w:rsidR="00476733" w:rsidRPr="001437DE" w:rsidTr="00C455B6">
        <w:tc>
          <w:tcPr>
            <w:tcW w:w="3600" w:type="dxa"/>
          </w:tcPr>
          <w:p w:rsidR="00476733" w:rsidRPr="001437DE" w:rsidRDefault="00476733" w:rsidP="00C455B6">
            <w:pPr>
              <w:spacing w:line="0" w:lineRule="atLeast"/>
              <w:rPr>
                <w:rFonts w:cs="Arial"/>
                <w:b/>
                <w:sz w:val="20"/>
              </w:rPr>
            </w:pPr>
            <w:r w:rsidRPr="001437DE">
              <w:rPr>
                <w:rFonts w:cs="Arial"/>
                <w:b/>
                <w:sz w:val="20"/>
              </w:rPr>
              <w:t>Total Income</w:t>
            </w:r>
          </w:p>
        </w:tc>
        <w:tc>
          <w:tcPr>
            <w:tcW w:w="990" w:type="dxa"/>
          </w:tcPr>
          <w:p w:rsidR="00476733" w:rsidRPr="001437DE" w:rsidRDefault="00476733" w:rsidP="00C455B6">
            <w:pPr>
              <w:tabs>
                <w:tab w:val="decimal" w:pos="342"/>
              </w:tabs>
              <w:spacing w:line="0" w:lineRule="atLeast"/>
              <w:rPr>
                <w:rFonts w:cs="Arial"/>
                <w:b/>
                <w:sz w:val="20"/>
              </w:rPr>
            </w:pPr>
            <w:r w:rsidRPr="001437DE">
              <w:rPr>
                <w:rFonts w:cs="Arial"/>
                <w:b/>
                <w:sz w:val="20"/>
              </w:rPr>
              <w:t>7.03</w:t>
            </w:r>
          </w:p>
        </w:tc>
        <w:tc>
          <w:tcPr>
            <w:tcW w:w="1080" w:type="dxa"/>
          </w:tcPr>
          <w:p w:rsidR="00476733" w:rsidRPr="001437DE" w:rsidRDefault="00476733" w:rsidP="00C455B6">
            <w:pPr>
              <w:tabs>
                <w:tab w:val="decimal" w:pos="447"/>
              </w:tabs>
              <w:spacing w:line="0" w:lineRule="atLeast"/>
              <w:rPr>
                <w:rFonts w:cs="Arial"/>
                <w:b/>
                <w:sz w:val="20"/>
              </w:rPr>
            </w:pPr>
            <w:r w:rsidRPr="001437DE">
              <w:rPr>
                <w:rFonts w:cs="Arial"/>
                <w:b/>
                <w:sz w:val="20"/>
              </w:rPr>
              <w:t>8.16</w:t>
            </w:r>
          </w:p>
        </w:tc>
        <w:tc>
          <w:tcPr>
            <w:tcW w:w="1080" w:type="dxa"/>
          </w:tcPr>
          <w:p w:rsidR="00476733" w:rsidRPr="001437DE" w:rsidRDefault="00476733" w:rsidP="00C455B6">
            <w:pPr>
              <w:tabs>
                <w:tab w:val="decimal" w:pos="447"/>
              </w:tabs>
              <w:spacing w:line="0" w:lineRule="atLeast"/>
              <w:rPr>
                <w:rFonts w:cs="Arial"/>
                <w:b/>
                <w:sz w:val="20"/>
              </w:rPr>
            </w:pPr>
            <w:r w:rsidRPr="001437DE">
              <w:rPr>
                <w:rFonts w:cs="Arial"/>
                <w:b/>
                <w:sz w:val="20"/>
              </w:rPr>
              <w:t>8.97</w:t>
            </w:r>
          </w:p>
        </w:tc>
        <w:tc>
          <w:tcPr>
            <w:tcW w:w="989" w:type="dxa"/>
          </w:tcPr>
          <w:p w:rsidR="00476733" w:rsidRPr="001437DE" w:rsidRDefault="00476733" w:rsidP="00C455B6">
            <w:pPr>
              <w:tabs>
                <w:tab w:val="decimal" w:pos="342"/>
              </w:tabs>
              <w:spacing w:line="0" w:lineRule="atLeast"/>
              <w:rPr>
                <w:rFonts w:cs="Arial"/>
                <w:b/>
                <w:sz w:val="20"/>
              </w:rPr>
            </w:pPr>
            <w:r w:rsidRPr="001437DE">
              <w:rPr>
                <w:rFonts w:cs="Arial"/>
                <w:b/>
                <w:sz w:val="20"/>
              </w:rPr>
              <w:t>9.56</w:t>
            </w:r>
          </w:p>
        </w:tc>
      </w:tr>
      <w:tr w:rsidR="00476733" w:rsidRPr="001437DE" w:rsidTr="00C455B6">
        <w:tc>
          <w:tcPr>
            <w:tcW w:w="3600" w:type="dxa"/>
          </w:tcPr>
          <w:p w:rsidR="00476733" w:rsidRDefault="00476733" w:rsidP="00C455B6">
            <w:pPr>
              <w:spacing w:line="0" w:lineRule="atLeast"/>
              <w:rPr>
                <w:rFonts w:cs="Arial"/>
                <w:sz w:val="20"/>
              </w:rPr>
            </w:pPr>
          </w:p>
        </w:tc>
        <w:tc>
          <w:tcPr>
            <w:tcW w:w="990" w:type="dxa"/>
          </w:tcPr>
          <w:p w:rsidR="00476733" w:rsidRDefault="00476733" w:rsidP="00C455B6">
            <w:pPr>
              <w:tabs>
                <w:tab w:val="decimal" w:pos="342"/>
              </w:tabs>
              <w:spacing w:line="0" w:lineRule="atLeast"/>
              <w:rPr>
                <w:rFonts w:cs="Arial"/>
                <w:sz w:val="20"/>
              </w:rPr>
            </w:pPr>
          </w:p>
        </w:tc>
        <w:tc>
          <w:tcPr>
            <w:tcW w:w="1080" w:type="dxa"/>
          </w:tcPr>
          <w:p w:rsidR="00476733" w:rsidRDefault="00476733" w:rsidP="00C455B6">
            <w:pPr>
              <w:tabs>
                <w:tab w:val="decimal" w:pos="447"/>
              </w:tabs>
              <w:spacing w:line="0" w:lineRule="atLeast"/>
              <w:rPr>
                <w:rFonts w:cs="Arial"/>
                <w:sz w:val="20"/>
              </w:rPr>
            </w:pPr>
          </w:p>
        </w:tc>
        <w:tc>
          <w:tcPr>
            <w:tcW w:w="1080" w:type="dxa"/>
          </w:tcPr>
          <w:p w:rsidR="00476733" w:rsidRDefault="00476733" w:rsidP="00C455B6">
            <w:pPr>
              <w:tabs>
                <w:tab w:val="decimal" w:pos="447"/>
              </w:tabs>
              <w:spacing w:line="0" w:lineRule="atLeast"/>
              <w:rPr>
                <w:rFonts w:cs="Arial"/>
                <w:sz w:val="20"/>
              </w:rPr>
            </w:pPr>
          </w:p>
        </w:tc>
        <w:tc>
          <w:tcPr>
            <w:tcW w:w="989" w:type="dxa"/>
          </w:tcPr>
          <w:p w:rsidR="00476733" w:rsidRDefault="00476733" w:rsidP="00C455B6">
            <w:pPr>
              <w:tabs>
                <w:tab w:val="decimal" w:pos="342"/>
              </w:tabs>
              <w:spacing w:line="0" w:lineRule="atLeast"/>
              <w:rPr>
                <w:rFonts w:cs="Arial"/>
                <w:sz w:val="20"/>
              </w:rPr>
            </w:pPr>
          </w:p>
        </w:tc>
      </w:tr>
      <w:tr w:rsidR="00476733" w:rsidRPr="001437DE" w:rsidTr="00C455B6">
        <w:tc>
          <w:tcPr>
            <w:tcW w:w="3600" w:type="dxa"/>
          </w:tcPr>
          <w:p w:rsidR="00476733" w:rsidRPr="001437DE" w:rsidRDefault="00476733" w:rsidP="00C455B6">
            <w:pPr>
              <w:spacing w:line="0" w:lineRule="atLeast"/>
              <w:rPr>
                <w:rFonts w:cs="Arial"/>
                <w:sz w:val="20"/>
                <w:u w:val="single"/>
              </w:rPr>
            </w:pPr>
            <w:r w:rsidRPr="001437DE">
              <w:rPr>
                <w:rFonts w:cs="Arial"/>
                <w:sz w:val="20"/>
                <w:u w:val="single"/>
              </w:rPr>
              <w:t>Expenditure</w:t>
            </w:r>
          </w:p>
        </w:tc>
        <w:tc>
          <w:tcPr>
            <w:tcW w:w="990" w:type="dxa"/>
          </w:tcPr>
          <w:p w:rsidR="00476733" w:rsidRDefault="00476733" w:rsidP="00C455B6">
            <w:pPr>
              <w:tabs>
                <w:tab w:val="decimal" w:pos="342"/>
              </w:tabs>
              <w:spacing w:line="0" w:lineRule="atLeast"/>
              <w:rPr>
                <w:rFonts w:cs="Arial"/>
                <w:sz w:val="20"/>
              </w:rPr>
            </w:pPr>
          </w:p>
        </w:tc>
        <w:tc>
          <w:tcPr>
            <w:tcW w:w="1080" w:type="dxa"/>
          </w:tcPr>
          <w:p w:rsidR="00476733" w:rsidRDefault="00476733" w:rsidP="00C455B6">
            <w:pPr>
              <w:tabs>
                <w:tab w:val="decimal" w:pos="447"/>
              </w:tabs>
              <w:spacing w:line="0" w:lineRule="atLeast"/>
              <w:rPr>
                <w:rFonts w:cs="Arial"/>
                <w:sz w:val="20"/>
              </w:rPr>
            </w:pPr>
          </w:p>
        </w:tc>
        <w:tc>
          <w:tcPr>
            <w:tcW w:w="1080" w:type="dxa"/>
          </w:tcPr>
          <w:p w:rsidR="00476733" w:rsidRDefault="00476733" w:rsidP="00C455B6">
            <w:pPr>
              <w:tabs>
                <w:tab w:val="decimal" w:pos="447"/>
              </w:tabs>
              <w:spacing w:line="0" w:lineRule="atLeast"/>
              <w:rPr>
                <w:rFonts w:cs="Arial"/>
                <w:sz w:val="20"/>
              </w:rPr>
            </w:pPr>
          </w:p>
        </w:tc>
        <w:tc>
          <w:tcPr>
            <w:tcW w:w="989" w:type="dxa"/>
          </w:tcPr>
          <w:p w:rsidR="00476733" w:rsidRDefault="00476733" w:rsidP="00C455B6">
            <w:pPr>
              <w:tabs>
                <w:tab w:val="decimal" w:pos="342"/>
              </w:tabs>
              <w:spacing w:line="0" w:lineRule="atLeast"/>
              <w:rPr>
                <w:rFonts w:cs="Arial"/>
                <w:sz w:val="20"/>
              </w:rPr>
            </w:pPr>
          </w:p>
        </w:tc>
      </w:tr>
      <w:tr w:rsidR="00476733" w:rsidRPr="001437DE" w:rsidTr="00C455B6">
        <w:tc>
          <w:tcPr>
            <w:tcW w:w="3600" w:type="dxa"/>
          </w:tcPr>
          <w:p w:rsidR="00476733" w:rsidRDefault="00476733" w:rsidP="00C455B6">
            <w:pPr>
              <w:spacing w:line="0" w:lineRule="atLeast"/>
              <w:rPr>
                <w:rFonts w:cs="Arial"/>
                <w:sz w:val="20"/>
              </w:rPr>
            </w:pPr>
            <w:r>
              <w:rPr>
                <w:rFonts w:cs="Arial"/>
                <w:sz w:val="20"/>
              </w:rPr>
              <w:t>Administration &amp; Customer Service</w:t>
            </w:r>
          </w:p>
        </w:tc>
        <w:tc>
          <w:tcPr>
            <w:tcW w:w="990" w:type="dxa"/>
          </w:tcPr>
          <w:p w:rsidR="00476733" w:rsidRDefault="00476733" w:rsidP="00C455B6">
            <w:pPr>
              <w:tabs>
                <w:tab w:val="decimal" w:pos="342"/>
              </w:tabs>
              <w:spacing w:line="0" w:lineRule="atLeast"/>
              <w:rPr>
                <w:rFonts w:cs="Arial"/>
                <w:sz w:val="20"/>
              </w:rPr>
            </w:pPr>
            <w:r>
              <w:rPr>
                <w:rFonts w:cs="Arial"/>
                <w:sz w:val="20"/>
              </w:rPr>
              <w:t>1.61</w:t>
            </w:r>
          </w:p>
        </w:tc>
        <w:tc>
          <w:tcPr>
            <w:tcW w:w="1080" w:type="dxa"/>
          </w:tcPr>
          <w:p w:rsidR="00476733" w:rsidRDefault="00476733" w:rsidP="00C455B6">
            <w:pPr>
              <w:tabs>
                <w:tab w:val="decimal" w:pos="447"/>
              </w:tabs>
              <w:spacing w:line="0" w:lineRule="atLeast"/>
              <w:rPr>
                <w:rFonts w:cs="Arial"/>
                <w:sz w:val="20"/>
              </w:rPr>
            </w:pPr>
            <w:r>
              <w:rPr>
                <w:rFonts w:cs="Arial"/>
                <w:sz w:val="20"/>
              </w:rPr>
              <w:t>1.59</w:t>
            </w:r>
          </w:p>
        </w:tc>
        <w:tc>
          <w:tcPr>
            <w:tcW w:w="1080" w:type="dxa"/>
          </w:tcPr>
          <w:p w:rsidR="00476733" w:rsidRDefault="00476733" w:rsidP="00C455B6">
            <w:pPr>
              <w:tabs>
                <w:tab w:val="decimal" w:pos="342"/>
              </w:tabs>
              <w:spacing w:line="0" w:lineRule="atLeast"/>
              <w:rPr>
                <w:rFonts w:cs="Arial"/>
                <w:sz w:val="20"/>
              </w:rPr>
            </w:pPr>
            <w:r>
              <w:rPr>
                <w:rFonts w:cs="Arial"/>
                <w:sz w:val="20"/>
              </w:rPr>
              <w:t>1.67</w:t>
            </w:r>
          </w:p>
        </w:tc>
        <w:tc>
          <w:tcPr>
            <w:tcW w:w="989" w:type="dxa"/>
          </w:tcPr>
          <w:p w:rsidR="00476733" w:rsidRDefault="00476733" w:rsidP="00C455B6">
            <w:pPr>
              <w:tabs>
                <w:tab w:val="decimal" w:pos="342"/>
              </w:tabs>
              <w:spacing w:line="0" w:lineRule="atLeast"/>
              <w:rPr>
                <w:rFonts w:cs="Arial"/>
                <w:sz w:val="20"/>
              </w:rPr>
            </w:pPr>
            <w:r>
              <w:rPr>
                <w:rFonts w:cs="Arial"/>
                <w:sz w:val="20"/>
              </w:rPr>
              <w:t>1.72</w:t>
            </w:r>
          </w:p>
        </w:tc>
      </w:tr>
      <w:tr w:rsidR="00476733" w:rsidRPr="001437DE" w:rsidTr="00C455B6">
        <w:tc>
          <w:tcPr>
            <w:tcW w:w="3600" w:type="dxa"/>
          </w:tcPr>
          <w:p w:rsidR="00476733" w:rsidRDefault="00476733" w:rsidP="00C455B6">
            <w:pPr>
              <w:spacing w:line="0" w:lineRule="atLeast"/>
              <w:rPr>
                <w:rFonts w:cs="Arial"/>
                <w:sz w:val="20"/>
              </w:rPr>
            </w:pPr>
            <w:r>
              <w:rPr>
                <w:rFonts w:cs="Arial"/>
                <w:sz w:val="20"/>
              </w:rPr>
              <w:t>Aquatics</w:t>
            </w:r>
          </w:p>
        </w:tc>
        <w:tc>
          <w:tcPr>
            <w:tcW w:w="990" w:type="dxa"/>
          </w:tcPr>
          <w:p w:rsidR="00476733" w:rsidRDefault="00476733" w:rsidP="00C455B6">
            <w:pPr>
              <w:tabs>
                <w:tab w:val="decimal" w:pos="342"/>
              </w:tabs>
              <w:spacing w:line="0" w:lineRule="atLeast"/>
              <w:rPr>
                <w:rFonts w:cs="Arial"/>
                <w:sz w:val="20"/>
              </w:rPr>
            </w:pPr>
            <w:r>
              <w:rPr>
                <w:rFonts w:cs="Arial"/>
                <w:sz w:val="20"/>
              </w:rPr>
              <w:t>0.76</w:t>
            </w:r>
          </w:p>
        </w:tc>
        <w:tc>
          <w:tcPr>
            <w:tcW w:w="1080" w:type="dxa"/>
          </w:tcPr>
          <w:p w:rsidR="00476733" w:rsidRDefault="00476733" w:rsidP="00C455B6">
            <w:pPr>
              <w:tabs>
                <w:tab w:val="decimal" w:pos="447"/>
              </w:tabs>
              <w:spacing w:line="0" w:lineRule="atLeast"/>
              <w:rPr>
                <w:rFonts w:cs="Arial"/>
                <w:sz w:val="20"/>
              </w:rPr>
            </w:pPr>
            <w:r>
              <w:rPr>
                <w:rFonts w:cs="Arial"/>
                <w:sz w:val="20"/>
              </w:rPr>
              <w:t>0.99</w:t>
            </w:r>
          </w:p>
        </w:tc>
        <w:tc>
          <w:tcPr>
            <w:tcW w:w="1080" w:type="dxa"/>
          </w:tcPr>
          <w:p w:rsidR="00476733" w:rsidRDefault="00476733" w:rsidP="00C455B6">
            <w:pPr>
              <w:tabs>
                <w:tab w:val="decimal" w:pos="342"/>
              </w:tabs>
              <w:spacing w:line="0" w:lineRule="atLeast"/>
              <w:rPr>
                <w:rFonts w:cs="Arial"/>
                <w:sz w:val="20"/>
              </w:rPr>
            </w:pPr>
            <w:r>
              <w:rPr>
                <w:rFonts w:cs="Arial"/>
                <w:sz w:val="20"/>
              </w:rPr>
              <w:t>1.06</w:t>
            </w:r>
          </w:p>
        </w:tc>
        <w:tc>
          <w:tcPr>
            <w:tcW w:w="989" w:type="dxa"/>
          </w:tcPr>
          <w:p w:rsidR="00476733" w:rsidRDefault="00476733" w:rsidP="00C455B6">
            <w:pPr>
              <w:tabs>
                <w:tab w:val="decimal" w:pos="342"/>
              </w:tabs>
              <w:spacing w:line="0" w:lineRule="atLeast"/>
              <w:rPr>
                <w:rFonts w:cs="Arial"/>
                <w:sz w:val="20"/>
              </w:rPr>
            </w:pPr>
            <w:r>
              <w:rPr>
                <w:rFonts w:cs="Arial"/>
                <w:sz w:val="20"/>
              </w:rPr>
              <w:t>1.13</w:t>
            </w:r>
          </w:p>
        </w:tc>
      </w:tr>
      <w:tr w:rsidR="00476733" w:rsidRPr="001437DE" w:rsidTr="00C455B6">
        <w:tc>
          <w:tcPr>
            <w:tcW w:w="3600" w:type="dxa"/>
          </w:tcPr>
          <w:p w:rsidR="00476733" w:rsidRDefault="00476733" w:rsidP="00C455B6">
            <w:pPr>
              <w:spacing w:line="0" w:lineRule="atLeast"/>
              <w:rPr>
                <w:rFonts w:cs="Arial"/>
                <w:sz w:val="20"/>
              </w:rPr>
            </w:pPr>
            <w:r>
              <w:rPr>
                <w:rFonts w:cs="Arial"/>
                <w:sz w:val="20"/>
              </w:rPr>
              <w:t>Operations</w:t>
            </w:r>
          </w:p>
        </w:tc>
        <w:tc>
          <w:tcPr>
            <w:tcW w:w="990" w:type="dxa"/>
          </w:tcPr>
          <w:p w:rsidR="00476733" w:rsidRDefault="00476733" w:rsidP="00C455B6">
            <w:pPr>
              <w:tabs>
                <w:tab w:val="decimal" w:pos="342"/>
              </w:tabs>
              <w:spacing w:line="0" w:lineRule="atLeast"/>
              <w:rPr>
                <w:rFonts w:cs="Arial"/>
                <w:sz w:val="20"/>
              </w:rPr>
            </w:pPr>
            <w:r>
              <w:rPr>
                <w:rFonts w:cs="Arial"/>
                <w:sz w:val="20"/>
              </w:rPr>
              <w:t>3.62</w:t>
            </w:r>
          </w:p>
        </w:tc>
        <w:tc>
          <w:tcPr>
            <w:tcW w:w="1080" w:type="dxa"/>
          </w:tcPr>
          <w:p w:rsidR="00476733" w:rsidRDefault="00476733" w:rsidP="00C455B6">
            <w:pPr>
              <w:tabs>
                <w:tab w:val="decimal" w:pos="447"/>
              </w:tabs>
              <w:spacing w:line="0" w:lineRule="atLeast"/>
              <w:rPr>
                <w:rFonts w:cs="Arial"/>
                <w:sz w:val="20"/>
              </w:rPr>
            </w:pPr>
            <w:r>
              <w:rPr>
                <w:rFonts w:cs="Arial"/>
                <w:sz w:val="20"/>
              </w:rPr>
              <w:t>3.80</w:t>
            </w:r>
          </w:p>
        </w:tc>
        <w:tc>
          <w:tcPr>
            <w:tcW w:w="1080" w:type="dxa"/>
          </w:tcPr>
          <w:p w:rsidR="00476733" w:rsidRDefault="00476733" w:rsidP="00C455B6">
            <w:pPr>
              <w:tabs>
                <w:tab w:val="decimal" w:pos="342"/>
              </w:tabs>
              <w:spacing w:line="0" w:lineRule="atLeast"/>
              <w:rPr>
                <w:rFonts w:cs="Arial"/>
                <w:sz w:val="20"/>
              </w:rPr>
            </w:pPr>
            <w:r>
              <w:rPr>
                <w:rFonts w:cs="Arial"/>
                <w:sz w:val="20"/>
              </w:rPr>
              <w:t>3.99</w:t>
            </w:r>
          </w:p>
        </w:tc>
        <w:tc>
          <w:tcPr>
            <w:tcW w:w="989" w:type="dxa"/>
          </w:tcPr>
          <w:p w:rsidR="00476733" w:rsidRDefault="00476733" w:rsidP="00C455B6">
            <w:pPr>
              <w:tabs>
                <w:tab w:val="decimal" w:pos="342"/>
              </w:tabs>
              <w:spacing w:line="0" w:lineRule="atLeast"/>
              <w:rPr>
                <w:rFonts w:cs="Arial"/>
                <w:sz w:val="20"/>
              </w:rPr>
            </w:pPr>
            <w:r>
              <w:rPr>
                <w:rFonts w:cs="Arial"/>
                <w:sz w:val="20"/>
              </w:rPr>
              <w:t>4.16</w:t>
            </w:r>
          </w:p>
        </w:tc>
      </w:tr>
      <w:tr w:rsidR="00476733" w:rsidRPr="001437DE" w:rsidTr="00C455B6">
        <w:tc>
          <w:tcPr>
            <w:tcW w:w="3600" w:type="dxa"/>
          </w:tcPr>
          <w:p w:rsidR="00476733" w:rsidRDefault="00476733" w:rsidP="00C455B6">
            <w:pPr>
              <w:spacing w:line="0" w:lineRule="atLeast"/>
              <w:rPr>
                <w:rFonts w:cs="Arial"/>
                <w:sz w:val="20"/>
              </w:rPr>
            </w:pPr>
            <w:r>
              <w:rPr>
                <w:rFonts w:cs="Arial"/>
                <w:sz w:val="20"/>
              </w:rPr>
              <w:t>Sales &amp; Marketing</w:t>
            </w:r>
          </w:p>
        </w:tc>
        <w:tc>
          <w:tcPr>
            <w:tcW w:w="990" w:type="dxa"/>
          </w:tcPr>
          <w:p w:rsidR="00476733" w:rsidRDefault="00476733" w:rsidP="00C455B6">
            <w:pPr>
              <w:tabs>
                <w:tab w:val="decimal" w:pos="342"/>
              </w:tabs>
              <w:spacing w:line="0" w:lineRule="atLeast"/>
              <w:rPr>
                <w:rFonts w:cs="Arial"/>
                <w:sz w:val="20"/>
              </w:rPr>
            </w:pPr>
            <w:r>
              <w:rPr>
                <w:rFonts w:cs="Arial"/>
                <w:sz w:val="20"/>
              </w:rPr>
              <w:t>0.52</w:t>
            </w:r>
          </w:p>
        </w:tc>
        <w:tc>
          <w:tcPr>
            <w:tcW w:w="1080" w:type="dxa"/>
          </w:tcPr>
          <w:p w:rsidR="00476733" w:rsidRDefault="00476733" w:rsidP="00C455B6">
            <w:pPr>
              <w:tabs>
                <w:tab w:val="decimal" w:pos="447"/>
              </w:tabs>
              <w:spacing w:line="0" w:lineRule="atLeast"/>
              <w:rPr>
                <w:rFonts w:cs="Arial"/>
                <w:sz w:val="20"/>
              </w:rPr>
            </w:pPr>
            <w:r>
              <w:rPr>
                <w:rFonts w:cs="Arial"/>
                <w:sz w:val="20"/>
              </w:rPr>
              <w:t>0.48</w:t>
            </w:r>
          </w:p>
        </w:tc>
        <w:tc>
          <w:tcPr>
            <w:tcW w:w="1080" w:type="dxa"/>
          </w:tcPr>
          <w:p w:rsidR="00476733" w:rsidRDefault="00476733" w:rsidP="00C455B6">
            <w:pPr>
              <w:tabs>
                <w:tab w:val="decimal" w:pos="342"/>
              </w:tabs>
              <w:spacing w:line="0" w:lineRule="atLeast"/>
              <w:rPr>
                <w:rFonts w:cs="Arial"/>
                <w:sz w:val="20"/>
              </w:rPr>
            </w:pPr>
            <w:r>
              <w:rPr>
                <w:rFonts w:cs="Arial"/>
                <w:sz w:val="20"/>
              </w:rPr>
              <w:t>0.50</w:t>
            </w:r>
          </w:p>
        </w:tc>
        <w:tc>
          <w:tcPr>
            <w:tcW w:w="989" w:type="dxa"/>
          </w:tcPr>
          <w:p w:rsidR="00476733" w:rsidRDefault="00476733" w:rsidP="00C455B6">
            <w:pPr>
              <w:tabs>
                <w:tab w:val="decimal" w:pos="342"/>
              </w:tabs>
              <w:spacing w:line="0" w:lineRule="atLeast"/>
              <w:rPr>
                <w:rFonts w:cs="Arial"/>
                <w:sz w:val="20"/>
              </w:rPr>
            </w:pPr>
            <w:r>
              <w:rPr>
                <w:rFonts w:cs="Arial"/>
                <w:sz w:val="20"/>
              </w:rPr>
              <w:t>0.51</w:t>
            </w:r>
          </w:p>
        </w:tc>
      </w:tr>
      <w:tr w:rsidR="00476733" w:rsidRPr="001437DE" w:rsidTr="00C455B6">
        <w:tc>
          <w:tcPr>
            <w:tcW w:w="3600" w:type="dxa"/>
          </w:tcPr>
          <w:p w:rsidR="00476733" w:rsidRDefault="00476733" w:rsidP="00C455B6">
            <w:pPr>
              <w:spacing w:line="0" w:lineRule="atLeast"/>
              <w:rPr>
                <w:rFonts w:cs="Arial"/>
                <w:sz w:val="20"/>
              </w:rPr>
            </w:pPr>
            <w:r>
              <w:rPr>
                <w:rFonts w:cs="Arial"/>
                <w:sz w:val="20"/>
              </w:rPr>
              <w:t>Sport, Health &amp; Wellness</w:t>
            </w:r>
          </w:p>
        </w:tc>
        <w:tc>
          <w:tcPr>
            <w:tcW w:w="990" w:type="dxa"/>
          </w:tcPr>
          <w:p w:rsidR="00476733" w:rsidRDefault="00476733" w:rsidP="00C455B6">
            <w:pPr>
              <w:tabs>
                <w:tab w:val="decimal" w:pos="342"/>
              </w:tabs>
              <w:spacing w:line="0" w:lineRule="atLeast"/>
              <w:rPr>
                <w:rFonts w:cs="Arial"/>
                <w:sz w:val="20"/>
              </w:rPr>
            </w:pPr>
            <w:r>
              <w:rPr>
                <w:rFonts w:cs="Arial"/>
                <w:sz w:val="20"/>
              </w:rPr>
              <w:t>1.13</w:t>
            </w:r>
          </w:p>
        </w:tc>
        <w:tc>
          <w:tcPr>
            <w:tcW w:w="1080" w:type="dxa"/>
          </w:tcPr>
          <w:p w:rsidR="00476733" w:rsidRDefault="00476733" w:rsidP="00C455B6">
            <w:pPr>
              <w:tabs>
                <w:tab w:val="decimal" w:pos="447"/>
              </w:tabs>
              <w:spacing w:line="0" w:lineRule="atLeast"/>
              <w:rPr>
                <w:rFonts w:cs="Arial"/>
                <w:sz w:val="20"/>
              </w:rPr>
            </w:pPr>
            <w:r>
              <w:rPr>
                <w:rFonts w:cs="Arial"/>
                <w:sz w:val="20"/>
              </w:rPr>
              <w:t>1.23</w:t>
            </w:r>
          </w:p>
        </w:tc>
        <w:tc>
          <w:tcPr>
            <w:tcW w:w="1080" w:type="dxa"/>
          </w:tcPr>
          <w:p w:rsidR="00476733" w:rsidRDefault="00476733" w:rsidP="00C455B6">
            <w:pPr>
              <w:tabs>
                <w:tab w:val="decimal" w:pos="342"/>
              </w:tabs>
              <w:spacing w:line="0" w:lineRule="atLeast"/>
              <w:rPr>
                <w:rFonts w:cs="Arial"/>
                <w:sz w:val="20"/>
              </w:rPr>
            </w:pPr>
            <w:r>
              <w:rPr>
                <w:rFonts w:cs="Arial"/>
                <w:sz w:val="20"/>
              </w:rPr>
              <w:t>1.28</w:t>
            </w:r>
          </w:p>
        </w:tc>
        <w:tc>
          <w:tcPr>
            <w:tcW w:w="989" w:type="dxa"/>
          </w:tcPr>
          <w:p w:rsidR="00476733" w:rsidRDefault="00476733" w:rsidP="00C455B6">
            <w:pPr>
              <w:tabs>
                <w:tab w:val="decimal" w:pos="342"/>
              </w:tabs>
              <w:spacing w:line="0" w:lineRule="atLeast"/>
              <w:rPr>
                <w:rFonts w:cs="Arial"/>
                <w:sz w:val="20"/>
              </w:rPr>
            </w:pPr>
            <w:r>
              <w:rPr>
                <w:rFonts w:cs="Arial"/>
                <w:sz w:val="20"/>
              </w:rPr>
              <w:t>1.32</w:t>
            </w:r>
          </w:p>
        </w:tc>
      </w:tr>
      <w:tr w:rsidR="00476733" w:rsidRPr="001437DE" w:rsidTr="00C455B6">
        <w:tc>
          <w:tcPr>
            <w:tcW w:w="3600" w:type="dxa"/>
          </w:tcPr>
          <w:p w:rsidR="00476733" w:rsidRPr="001437DE" w:rsidRDefault="00476733" w:rsidP="00C455B6">
            <w:pPr>
              <w:spacing w:line="0" w:lineRule="atLeast"/>
              <w:rPr>
                <w:rFonts w:cs="Arial"/>
                <w:b/>
                <w:sz w:val="20"/>
              </w:rPr>
            </w:pPr>
            <w:r w:rsidRPr="001437DE">
              <w:rPr>
                <w:rFonts w:cs="Arial"/>
                <w:b/>
                <w:sz w:val="20"/>
              </w:rPr>
              <w:t>Total Expenditure</w:t>
            </w:r>
          </w:p>
        </w:tc>
        <w:tc>
          <w:tcPr>
            <w:tcW w:w="990" w:type="dxa"/>
          </w:tcPr>
          <w:p w:rsidR="00476733" w:rsidRPr="001437DE" w:rsidRDefault="00476733" w:rsidP="00C455B6">
            <w:pPr>
              <w:tabs>
                <w:tab w:val="decimal" w:pos="342"/>
              </w:tabs>
              <w:spacing w:line="0" w:lineRule="atLeast"/>
              <w:rPr>
                <w:rFonts w:cs="Arial"/>
                <w:b/>
                <w:sz w:val="20"/>
              </w:rPr>
            </w:pPr>
            <w:r w:rsidRPr="001437DE">
              <w:rPr>
                <w:rFonts w:cs="Arial"/>
                <w:b/>
                <w:sz w:val="20"/>
              </w:rPr>
              <w:t>7.64</w:t>
            </w:r>
          </w:p>
        </w:tc>
        <w:tc>
          <w:tcPr>
            <w:tcW w:w="1080" w:type="dxa"/>
          </w:tcPr>
          <w:p w:rsidR="00476733" w:rsidRPr="001437DE" w:rsidRDefault="00476733" w:rsidP="00C455B6">
            <w:pPr>
              <w:tabs>
                <w:tab w:val="decimal" w:pos="447"/>
              </w:tabs>
              <w:spacing w:line="0" w:lineRule="atLeast"/>
              <w:rPr>
                <w:rFonts w:cs="Arial"/>
                <w:b/>
                <w:sz w:val="20"/>
              </w:rPr>
            </w:pPr>
            <w:r w:rsidRPr="001437DE">
              <w:rPr>
                <w:rFonts w:cs="Arial"/>
                <w:b/>
                <w:sz w:val="20"/>
              </w:rPr>
              <w:t>8.09</w:t>
            </w:r>
          </w:p>
        </w:tc>
        <w:tc>
          <w:tcPr>
            <w:tcW w:w="1080" w:type="dxa"/>
          </w:tcPr>
          <w:p w:rsidR="00476733" w:rsidRPr="001437DE" w:rsidRDefault="00476733" w:rsidP="00C455B6">
            <w:pPr>
              <w:tabs>
                <w:tab w:val="decimal" w:pos="342"/>
              </w:tabs>
              <w:spacing w:line="0" w:lineRule="atLeast"/>
              <w:rPr>
                <w:rFonts w:cs="Arial"/>
                <w:b/>
                <w:sz w:val="20"/>
              </w:rPr>
            </w:pPr>
            <w:r w:rsidRPr="001437DE">
              <w:rPr>
                <w:rFonts w:cs="Arial"/>
                <w:b/>
                <w:sz w:val="20"/>
              </w:rPr>
              <w:t>8.50</w:t>
            </w:r>
          </w:p>
        </w:tc>
        <w:tc>
          <w:tcPr>
            <w:tcW w:w="989" w:type="dxa"/>
          </w:tcPr>
          <w:p w:rsidR="00476733" w:rsidRPr="001437DE" w:rsidRDefault="00476733" w:rsidP="00C455B6">
            <w:pPr>
              <w:tabs>
                <w:tab w:val="decimal" w:pos="342"/>
              </w:tabs>
              <w:spacing w:line="0" w:lineRule="atLeast"/>
              <w:rPr>
                <w:rFonts w:cs="Arial"/>
                <w:b/>
                <w:sz w:val="20"/>
              </w:rPr>
            </w:pPr>
            <w:r w:rsidRPr="001437DE">
              <w:rPr>
                <w:rFonts w:cs="Arial"/>
                <w:b/>
                <w:sz w:val="20"/>
              </w:rPr>
              <w:t>8.84</w:t>
            </w:r>
          </w:p>
        </w:tc>
      </w:tr>
      <w:tr w:rsidR="00476733" w:rsidRPr="001437DE" w:rsidTr="00C455B6">
        <w:tc>
          <w:tcPr>
            <w:tcW w:w="3600" w:type="dxa"/>
          </w:tcPr>
          <w:p w:rsidR="00476733" w:rsidRPr="001437DE" w:rsidRDefault="00476733" w:rsidP="00C455B6">
            <w:pPr>
              <w:spacing w:line="0" w:lineRule="atLeast"/>
              <w:rPr>
                <w:rFonts w:cs="Arial"/>
                <w:b/>
                <w:sz w:val="20"/>
              </w:rPr>
            </w:pPr>
          </w:p>
        </w:tc>
        <w:tc>
          <w:tcPr>
            <w:tcW w:w="990" w:type="dxa"/>
          </w:tcPr>
          <w:p w:rsidR="00476733" w:rsidRPr="001437DE" w:rsidRDefault="00476733" w:rsidP="00C455B6">
            <w:pPr>
              <w:tabs>
                <w:tab w:val="decimal" w:pos="342"/>
              </w:tabs>
              <w:spacing w:line="0" w:lineRule="atLeast"/>
              <w:rPr>
                <w:rFonts w:cs="Arial"/>
                <w:b/>
                <w:sz w:val="20"/>
              </w:rPr>
            </w:pPr>
          </w:p>
        </w:tc>
        <w:tc>
          <w:tcPr>
            <w:tcW w:w="1080" w:type="dxa"/>
          </w:tcPr>
          <w:p w:rsidR="00476733" w:rsidRPr="001437DE" w:rsidRDefault="00476733" w:rsidP="00C455B6">
            <w:pPr>
              <w:tabs>
                <w:tab w:val="decimal" w:pos="447"/>
              </w:tabs>
              <w:spacing w:line="0" w:lineRule="atLeast"/>
              <w:rPr>
                <w:rFonts w:cs="Arial"/>
                <w:b/>
                <w:sz w:val="20"/>
              </w:rPr>
            </w:pPr>
          </w:p>
        </w:tc>
        <w:tc>
          <w:tcPr>
            <w:tcW w:w="1080" w:type="dxa"/>
          </w:tcPr>
          <w:p w:rsidR="00476733" w:rsidRPr="001437DE" w:rsidRDefault="00476733" w:rsidP="00C455B6">
            <w:pPr>
              <w:tabs>
                <w:tab w:val="decimal" w:pos="342"/>
              </w:tabs>
              <w:spacing w:line="0" w:lineRule="atLeast"/>
              <w:rPr>
                <w:rFonts w:cs="Arial"/>
                <w:b/>
                <w:sz w:val="20"/>
              </w:rPr>
            </w:pPr>
          </w:p>
        </w:tc>
        <w:tc>
          <w:tcPr>
            <w:tcW w:w="989" w:type="dxa"/>
          </w:tcPr>
          <w:p w:rsidR="00476733" w:rsidRPr="001437DE" w:rsidRDefault="00476733" w:rsidP="00C455B6">
            <w:pPr>
              <w:tabs>
                <w:tab w:val="decimal" w:pos="342"/>
              </w:tabs>
              <w:spacing w:line="0" w:lineRule="atLeast"/>
              <w:rPr>
                <w:rFonts w:cs="Arial"/>
                <w:b/>
                <w:sz w:val="20"/>
              </w:rPr>
            </w:pPr>
          </w:p>
        </w:tc>
      </w:tr>
      <w:tr w:rsidR="00476733" w:rsidRPr="001437DE" w:rsidTr="00C455B6">
        <w:tc>
          <w:tcPr>
            <w:tcW w:w="3600" w:type="dxa"/>
          </w:tcPr>
          <w:p w:rsidR="00476733" w:rsidRPr="001437DE" w:rsidRDefault="00476733" w:rsidP="00C455B6">
            <w:pPr>
              <w:spacing w:line="0" w:lineRule="atLeast"/>
              <w:rPr>
                <w:rFonts w:cs="Arial"/>
                <w:b/>
                <w:sz w:val="20"/>
              </w:rPr>
            </w:pPr>
            <w:r>
              <w:rPr>
                <w:rFonts w:cs="Arial"/>
                <w:b/>
                <w:sz w:val="20"/>
              </w:rPr>
              <w:t>Operating Surplus/Deficit</w:t>
            </w:r>
          </w:p>
        </w:tc>
        <w:tc>
          <w:tcPr>
            <w:tcW w:w="990" w:type="dxa"/>
          </w:tcPr>
          <w:p w:rsidR="00476733" w:rsidRPr="001437DE" w:rsidRDefault="00476733" w:rsidP="00C455B6">
            <w:pPr>
              <w:tabs>
                <w:tab w:val="decimal" w:pos="342"/>
              </w:tabs>
              <w:spacing w:line="0" w:lineRule="atLeast"/>
              <w:rPr>
                <w:rFonts w:cs="Arial"/>
                <w:b/>
                <w:sz w:val="20"/>
              </w:rPr>
            </w:pPr>
            <w:r>
              <w:rPr>
                <w:rFonts w:cs="Arial"/>
                <w:b/>
                <w:sz w:val="20"/>
              </w:rPr>
              <w:t>(0.61)</w:t>
            </w:r>
          </w:p>
        </w:tc>
        <w:tc>
          <w:tcPr>
            <w:tcW w:w="1080" w:type="dxa"/>
          </w:tcPr>
          <w:p w:rsidR="00476733" w:rsidRPr="001437DE" w:rsidRDefault="00476733" w:rsidP="00C455B6">
            <w:pPr>
              <w:tabs>
                <w:tab w:val="decimal" w:pos="447"/>
              </w:tabs>
              <w:spacing w:line="0" w:lineRule="atLeast"/>
              <w:rPr>
                <w:rFonts w:cs="Arial"/>
                <w:b/>
                <w:sz w:val="20"/>
              </w:rPr>
            </w:pPr>
            <w:r>
              <w:rPr>
                <w:rFonts w:cs="Arial"/>
                <w:b/>
                <w:sz w:val="20"/>
              </w:rPr>
              <w:t>0.07</w:t>
            </w:r>
          </w:p>
        </w:tc>
        <w:tc>
          <w:tcPr>
            <w:tcW w:w="1080" w:type="dxa"/>
          </w:tcPr>
          <w:p w:rsidR="00476733" w:rsidRPr="001437DE" w:rsidRDefault="00476733" w:rsidP="00C455B6">
            <w:pPr>
              <w:tabs>
                <w:tab w:val="decimal" w:pos="342"/>
              </w:tabs>
              <w:spacing w:line="0" w:lineRule="atLeast"/>
              <w:rPr>
                <w:rFonts w:cs="Arial"/>
                <w:b/>
                <w:sz w:val="20"/>
              </w:rPr>
            </w:pPr>
            <w:r>
              <w:rPr>
                <w:rFonts w:cs="Arial"/>
                <w:b/>
                <w:sz w:val="20"/>
              </w:rPr>
              <w:t>0.47</w:t>
            </w:r>
          </w:p>
        </w:tc>
        <w:tc>
          <w:tcPr>
            <w:tcW w:w="989" w:type="dxa"/>
          </w:tcPr>
          <w:p w:rsidR="00476733" w:rsidRPr="001437DE" w:rsidRDefault="00476733" w:rsidP="00C455B6">
            <w:pPr>
              <w:tabs>
                <w:tab w:val="decimal" w:pos="342"/>
              </w:tabs>
              <w:spacing w:line="0" w:lineRule="atLeast"/>
              <w:rPr>
                <w:rFonts w:cs="Arial"/>
                <w:b/>
                <w:sz w:val="20"/>
              </w:rPr>
            </w:pPr>
            <w:r>
              <w:rPr>
                <w:rFonts w:cs="Arial"/>
                <w:b/>
                <w:sz w:val="20"/>
              </w:rPr>
              <w:t>0.72</w:t>
            </w:r>
          </w:p>
        </w:tc>
      </w:tr>
    </w:tbl>
    <w:p w:rsidR="00476733" w:rsidRPr="001437DE" w:rsidRDefault="00476733" w:rsidP="00C455B6">
      <w:pPr>
        <w:spacing w:line="0" w:lineRule="atLeast"/>
        <w:rPr>
          <w:rFonts w:cs="Arial"/>
          <w:b/>
          <w:szCs w:val="24"/>
        </w:rPr>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Capital Income and Developer Contributions</w:t>
      </w:r>
    </w:p>
    <w:p w:rsidR="00476733" w:rsidRPr="00404387" w:rsidRDefault="00476733" w:rsidP="00C455B6">
      <w:pPr>
        <w:tabs>
          <w:tab w:val="left" w:pos="720"/>
          <w:tab w:val="left" w:pos="1440"/>
        </w:tabs>
        <w:ind w:left="1440"/>
        <w:rPr>
          <w:sz w:val="20"/>
        </w:rPr>
      </w:pPr>
    </w:p>
    <w:p w:rsidR="00476733" w:rsidRDefault="00476733" w:rsidP="00C455B6">
      <w:pPr>
        <w:tabs>
          <w:tab w:val="left" w:pos="720"/>
          <w:tab w:val="left" w:pos="1440"/>
        </w:tabs>
        <w:ind w:left="1440"/>
      </w:pPr>
      <w:r>
        <w:t>The City has budgeted to receive the following Capital Income &amp; Grants plus Developer Contributions for 2016/17.</w:t>
      </w:r>
    </w:p>
    <w:p w:rsidR="00476733" w:rsidRDefault="00476733" w:rsidP="00C455B6">
      <w:pPr>
        <w:tabs>
          <w:tab w:val="left" w:pos="720"/>
          <w:tab w:val="left" w:pos="1440"/>
        </w:tabs>
        <w:ind w:left="1440"/>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t xml:space="preserve">Table </w:t>
      </w:r>
      <w:r>
        <w:rPr>
          <w:rFonts w:ascii="Bookman Old Style" w:hAnsi="Bookman Old Style"/>
          <w:i/>
          <w:sz w:val="20"/>
        </w:rPr>
        <w:t>10</w:t>
      </w:r>
      <w:r w:rsidRPr="00360F32">
        <w:rPr>
          <w:rFonts w:ascii="Bookman Old Style" w:hAnsi="Bookman Old Style"/>
          <w:i/>
          <w:sz w:val="20"/>
        </w:rPr>
        <w:t xml:space="preserve"> – Capital income for 2016/17</w:t>
      </w:r>
    </w:p>
    <w:tbl>
      <w:tblPr>
        <w:tblW w:w="666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950"/>
        <w:gridCol w:w="1710"/>
      </w:tblGrid>
      <w:tr w:rsidR="00476733" w:rsidRPr="00E37350" w:rsidTr="00C455B6">
        <w:tc>
          <w:tcPr>
            <w:tcW w:w="4950" w:type="dxa"/>
            <w:shd w:val="clear" w:color="auto" w:fill="auto"/>
            <w:noWrap/>
            <w:vAlign w:val="bottom"/>
            <w:hideMark/>
          </w:tcPr>
          <w:p w:rsidR="00476733" w:rsidRPr="00E37350" w:rsidRDefault="00476733" w:rsidP="00C455B6">
            <w:pPr>
              <w:rPr>
                <w:rFonts w:cs="Arial"/>
                <w:color w:val="000000"/>
                <w:sz w:val="20"/>
                <w:lang w:eastAsia="en-AU"/>
              </w:rPr>
            </w:pPr>
            <w:r w:rsidRPr="00E37350">
              <w:rPr>
                <w:rFonts w:cs="Arial"/>
                <w:color w:val="000000"/>
                <w:sz w:val="20"/>
                <w:lang w:eastAsia="en-AU"/>
              </w:rPr>
              <w:t xml:space="preserve">Road </w:t>
            </w:r>
            <w:r>
              <w:rPr>
                <w:rFonts w:cs="Arial"/>
                <w:color w:val="000000"/>
                <w:sz w:val="20"/>
                <w:lang w:eastAsia="en-AU"/>
              </w:rPr>
              <w:t>project g</w:t>
            </w:r>
            <w:r w:rsidRPr="00E37350">
              <w:rPr>
                <w:rFonts w:cs="Arial"/>
                <w:color w:val="000000"/>
                <w:sz w:val="20"/>
                <w:lang w:eastAsia="en-AU"/>
              </w:rPr>
              <w:t>rants</w:t>
            </w:r>
          </w:p>
        </w:tc>
        <w:tc>
          <w:tcPr>
            <w:tcW w:w="1710" w:type="dxa"/>
            <w:shd w:val="clear" w:color="auto" w:fill="auto"/>
            <w:noWrap/>
            <w:vAlign w:val="bottom"/>
            <w:hideMark/>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$3.40m</w:t>
            </w:r>
          </w:p>
        </w:tc>
      </w:tr>
      <w:tr w:rsidR="00476733" w:rsidRPr="00E37350" w:rsidTr="00C455B6">
        <w:tc>
          <w:tcPr>
            <w:tcW w:w="4950" w:type="dxa"/>
            <w:shd w:val="clear" w:color="auto" w:fill="auto"/>
            <w:noWrap/>
            <w:vAlign w:val="bottom"/>
          </w:tcPr>
          <w:p w:rsidR="00476733" w:rsidRPr="00E37350" w:rsidRDefault="00476733" w:rsidP="00C455B6">
            <w:pPr>
              <w:rPr>
                <w:rFonts w:cs="Arial"/>
                <w:color w:val="000000"/>
                <w:sz w:val="20"/>
                <w:lang w:eastAsia="en-AU"/>
              </w:rPr>
            </w:pPr>
            <w:r>
              <w:rPr>
                <w:rFonts w:cs="Arial"/>
                <w:color w:val="000000"/>
                <w:sz w:val="20"/>
                <w:lang w:eastAsia="en-AU"/>
              </w:rPr>
              <w:t>Sale of Plant</w:t>
            </w:r>
          </w:p>
        </w:tc>
        <w:tc>
          <w:tcPr>
            <w:tcW w:w="1710" w:type="dxa"/>
            <w:shd w:val="clear" w:color="auto" w:fill="auto"/>
            <w:noWrap/>
            <w:vAlign w:val="bottom"/>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$1.26m</w:t>
            </w:r>
          </w:p>
        </w:tc>
      </w:tr>
      <w:tr w:rsidR="00476733" w:rsidRPr="00E37350" w:rsidTr="00C455B6">
        <w:tc>
          <w:tcPr>
            <w:tcW w:w="4950" w:type="dxa"/>
            <w:shd w:val="clear" w:color="auto" w:fill="auto"/>
            <w:noWrap/>
            <w:vAlign w:val="bottom"/>
          </w:tcPr>
          <w:p w:rsidR="00476733" w:rsidRDefault="00476733" w:rsidP="00C455B6">
            <w:pPr>
              <w:rPr>
                <w:rFonts w:cs="Arial"/>
                <w:color w:val="000000"/>
                <w:sz w:val="20"/>
                <w:lang w:eastAsia="en-AU"/>
              </w:rPr>
            </w:pPr>
            <w:proofErr w:type="spellStart"/>
            <w:r>
              <w:rPr>
                <w:rFonts w:cs="Arial"/>
                <w:color w:val="000000"/>
                <w:sz w:val="20"/>
                <w:lang w:eastAsia="en-AU"/>
              </w:rPr>
              <w:t>Visko</w:t>
            </w:r>
            <w:proofErr w:type="spellEnd"/>
            <w:r>
              <w:rPr>
                <w:rFonts w:cs="Arial"/>
                <w:color w:val="000000"/>
                <w:sz w:val="20"/>
                <w:lang w:eastAsia="en-AU"/>
              </w:rPr>
              <w:t xml:space="preserve"> Park</w:t>
            </w:r>
          </w:p>
        </w:tc>
        <w:tc>
          <w:tcPr>
            <w:tcW w:w="1710" w:type="dxa"/>
            <w:shd w:val="clear" w:color="auto" w:fill="auto"/>
            <w:noWrap/>
            <w:vAlign w:val="bottom"/>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$3.60m</w:t>
            </w:r>
          </w:p>
        </w:tc>
      </w:tr>
      <w:tr w:rsidR="00476733" w:rsidRPr="00E37350" w:rsidTr="00C455B6">
        <w:tc>
          <w:tcPr>
            <w:tcW w:w="4950" w:type="dxa"/>
            <w:shd w:val="clear" w:color="auto" w:fill="auto"/>
            <w:noWrap/>
            <w:vAlign w:val="bottom"/>
            <w:hideMark/>
          </w:tcPr>
          <w:p w:rsidR="00476733" w:rsidRPr="00E37350" w:rsidRDefault="00476733" w:rsidP="00C455B6">
            <w:pPr>
              <w:rPr>
                <w:rFonts w:cs="Arial"/>
                <w:color w:val="000000"/>
                <w:sz w:val="20"/>
                <w:lang w:eastAsia="en-AU"/>
              </w:rPr>
            </w:pPr>
            <w:r>
              <w:rPr>
                <w:rFonts w:cs="Arial"/>
                <w:color w:val="000000"/>
                <w:sz w:val="20"/>
                <w:lang w:eastAsia="en-AU"/>
              </w:rPr>
              <w:t>Men’s Shed (Lottery West)</w:t>
            </w:r>
          </w:p>
        </w:tc>
        <w:tc>
          <w:tcPr>
            <w:tcW w:w="1710" w:type="dxa"/>
            <w:shd w:val="clear" w:color="auto" w:fill="auto"/>
            <w:noWrap/>
            <w:vAlign w:val="bottom"/>
            <w:hideMark/>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$0.48m</w:t>
            </w:r>
          </w:p>
        </w:tc>
      </w:tr>
      <w:tr w:rsidR="00476733" w:rsidRPr="00E37350" w:rsidTr="00C455B6">
        <w:tc>
          <w:tcPr>
            <w:tcW w:w="4950" w:type="dxa"/>
            <w:shd w:val="clear" w:color="auto" w:fill="auto"/>
            <w:noWrap/>
            <w:vAlign w:val="bottom"/>
            <w:hideMark/>
          </w:tcPr>
          <w:p w:rsidR="00476733" w:rsidRPr="00E37350" w:rsidRDefault="00476733" w:rsidP="00C455B6">
            <w:pPr>
              <w:rPr>
                <w:rFonts w:cs="Arial"/>
                <w:color w:val="000000"/>
                <w:sz w:val="20"/>
                <w:lang w:eastAsia="en-AU"/>
              </w:rPr>
            </w:pPr>
            <w:r>
              <w:rPr>
                <w:rFonts w:cs="Arial"/>
                <w:color w:val="000000"/>
                <w:sz w:val="20"/>
                <w:lang w:eastAsia="en-AU"/>
              </w:rPr>
              <w:t>Grants (Cockburn ARC)</w:t>
            </w:r>
          </w:p>
        </w:tc>
        <w:tc>
          <w:tcPr>
            <w:tcW w:w="1710" w:type="dxa"/>
            <w:shd w:val="clear" w:color="auto" w:fill="auto"/>
            <w:noWrap/>
            <w:vAlign w:val="bottom"/>
            <w:hideMark/>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$13.5m</w:t>
            </w:r>
          </w:p>
        </w:tc>
      </w:tr>
      <w:tr w:rsidR="00476733" w:rsidRPr="00E37350" w:rsidTr="00C455B6">
        <w:tc>
          <w:tcPr>
            <w:tcW w:w="4950" w:type="dxa"/>
            <w:shd w:val="clear" w:color="auto" w:fill="auto"/>
            <w:noWrap/>
            <w:vAlign w:val="bottom"/>
          </w:tcPr>
          <w:p w:rsidR="00476733" w:rsidRDefault="00476733" w:rsidP="00C455B6">
            <w:pPr>
              <w:rPr>
                <w:rFonts w:cs="Arial"/>
                <w:color w:val="000000"/>
                <w:sz w:val="20"/>
                <w:lang w:eastAsia="en-AU"/>
              </w:rPr>
            </w:pPr>
            <w:proofErr w:type="spellStart"/>
            <w:r>
              <w:rPr>
                <w:rFonts w:cs="Arial"/>
                <w:color w:val="000000"/>
                <w:sz w:val="20"/>
                <w:lang w:eastAsia="en-AU"/>
              </w:rPr>
              <w:t>FFC</w:t>
            </w:r>
            <w:proofErr w:type="spellEnd"/>
            <w:r>
              <w:rPr>
                <w:rFonts w:cs="Arial"/>
                <w:color w:val="000000"/>
                <w:sz w:val="20"/>
                <w:lang w:eastAsia="en-AU"/>
              </w:rPr>
              <w:t xml:space="preserve"> (Cockburn ARC Capital Reimbursement)</w:t>
            </w:r>
          </w:p>
        </w:tc>
        <w:tc>
          <w:tcPr>
            <w:tcW w:w="1710" w:type="dxa"/>
            <w:shd w:val="clear" w:color="auto" w:fill="auto"/>
            <w:noWrap/>
            <w:vAlign w:val="bottom"/>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$4.58m</w:t>
            </w:r>
          </w:p>
        </w:tc>
      </w:tr>
      <w:tr w:rsidR="00476733" w:rsidRPr="00E37350" w:rsidTr="00C455B6">
        <w:tc>
          <w:tcPr>
            <w:tcW w:w="4950" w:type="dxa"/>
            <w:shd w:val="clear" w:color="auto" w:fill="auto"/>
            <w:noWrap/>
            <w:vAlign w:val="bottom"/>
            <w:hideMark/>
          </w:tcPr>
          <w:p w:rsidR="00476733" w:rsidRPr="00E37350" w:rsidRDefault="00476733" w:rsidP="00C455B6">
            <w:pPr>
              <w:rPr>
                <w:rFonts w:cs="Arial"/>
                <w:color w:val="000000"/>
                <w:sz w:val="20"/>
                <w:lang w:eastAsia="en-AU"/>
              </w:rPr>
            </w:pPr>
            <w:r>
              <w:rPr>
                <w:rFonts w:cs="Arial"/>
                <w:color w:val="000000"/>
                <w:sz w:val="20"/>
                <w:lang w:eastAsia="en-AU"/>
              </w:rPr>
              <w:t xml:space="preserve">Developer contributions – </w:t>
            </w:r>
            <w:proofErr w:type="spellStart"/>
            <w:r>
              <w:rPr>
                <w:rFonts w:cs="Arial"/>
                <w:color w:val="000000"/>
                <w:sz w:val="20"/>
                <w:lang w:eastAsia="en-AU"/>
              </w:rPr>
              <w:t>DCP</w:t>
            </w:r>
            <w:proofErr w:type="spellEnd"/>
            <w:r>
              <w:rPr>
                <w:rFonts w:cs="Arial"/>
                <w:color w:val="000000"/>
                <w:sz w:val="20"/>
                <w:lang w:eastAsia="en-AU"/>
              </w:rPr>
              <w:t xml:space="preserve"> </w:t>
            </w:r>
          </w:p>
        </w:tc>
        <w:tc>
          <w:tcPr>
            <w:tcW w:w="1710" w:type="dxa"/>
            <w:shd w:val="clear" w:color="auto" w:fill="auto"/>
            <w:noWrap/>
            <w:vAlign w:val="bottom"/>
            <w:hideMark/>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$6.74m</w:t>
            </w:r>
          </w:p>
        </w:tc>
      </w:tr>
      <w:tr w:rsidR="00476733" w:rsidRPr="00E37350" w:rsidTr="00C455B6">
        <w:tc>
          <w:tcPr>
            <w:tcW w:w="4950" w:type="dxa"/>
            <w:shd w:val="clear" w:color="auto" w:fill="auto"/>
            <w:noWrap/>
            <w:vAlign w:val="bottom"/>
            <w:hideMark/>
          </w:tcPr>
          <w:p w:rsidR="00476733" w:rsidRPr="00E37350" w:rsidRDefault="00476733" w:rsidP="00C455B6">
            <w:pPr>
              <w:rPr>
                <w:rFonts w:cs="Arial"/>
                <w:color w:val="000000"/>
                <w:sz w:val="20"/>
                <w:lang w:eastAsia="en-AU"/>
              </w:rPr>
            </w:pPr>
            <w:r>
              <w:rPr>
                <w:rFonts w:cs="Arial"/>
                <w:color w:val="000000"/>
                <w:sz w:val="20"/>
                <w:lang w:eastAsia="en-AU"/>
              </w:rPr>
              <w:t>Non-government</w:t>
            </w:r>
            <w:r w:rsidRPr="00E37350">
              <w:rPr>
                <w:rFonts w:cs="Arial"/>
                <w:color w:val="000000"/>
                <w:sz w:val="20"/>
                <w:lang w:eastAsia="en-AU"/>
              </w:rPr>
              <w:t xml:space="preserve"> </w:t>
            </w:r>
            <w:r>
              <w:rPr>
                <w:rFonts w:cs="Arial"/>
                <w:color w:val="000000"/>
                <w:sz w:val="20"/>
                <w:lang w:eastAsia="en-AU"/>
              </w:rPr>
              <w:t>c</w:t>
            </w:r>
            <w:r w:rsidRPr="00E37350">
              <w:rPr>
                <w:rFonts w:cs="Arial"/>
                <w:color w:val="000000"/>
                <w:sz w:val="20"/>
                <w:lang w:eastAsia="en-AU"/>
              </w:rPr>
              <w:t>ontributions</w:t>
            </w:r>
            <w:r>
              <w:rPr>
                <w:rFonts w:cs="Arial"/>
                <w:color w:val="000000"/>
                <w:sz w:val="20"/>
                <w:lang w:eastAsia="en-AU"/>
              </w:rPr>
              <w:t xml:space="preserve"> – road &amp; building projects</w:t>
            </w:r>
          </w:p>
        </w:tc>
        <w:tc>
          <w:tcPr>
            <w:tcW w:w="1710" w:type="dxa"/>
            <w:shd w:val="clear" w:color="auto" w:fill="auto"/>
            <w:noWrap/>
            <w:vAlign w:val="bottom"/>
            <w:hideMark/>
          </w:tcPr>
          <w:p w:rsidR="00476733" w:rsidRPr="00901117" w:rsidRDefault="00476733" w:rsidP="00C455B6">
            <w:pPr>
              <w:tabs>
                <w:tab w:val="decimal" w:pos="612"/>
              </w:tabs>
              <w:jc w:val="left"/>
              <w:rPr>
                <w:rFonts w:cs="Arial"/>
                <w:sz w:val="20"/>
                <w:highlight w:val="yellow"/>
                <w:lang w:eastAsia="en-AU"/>
              </w:rPr>
            </w:pPr>
            <w:r w:rsidRPr="00C333EF">
              <w:rPr>
                <w:rFonts w:cs="Arial"/>
                <w:sz w:val="20"/>
                <w:lang w:eastAsia="en-AU"/>
              </w:rPr>
              <w:t>$0.47m</w:t>
            </w:r>
          </w:p>
        </w:tc>
      </w:tr>
    </w:tbl>
    <w:p w:rsidR="00476733" w:rsidRPr="00235906" w:rsidRDefault="00476733" w:rsidP="00C455B6">
      <w:pPr>
        <w:ind w:left="1440"/>
        <w:rPr>
          <w:szCs w:val="16"/>
        </w:rPr>
      </w:pPr>
    </w:p>
    <w:p w:rsidR="00476733" w:rsidRDefault="00476733" w:rsidP="00C455B6">
      <w:pPr>
        <w:ind w:left="1440"/>
      </w:pPr>
      <w:r>
        <w:t xml:space="preserve">Cash received from motor vehicle and truck/plant </w:t>
      </w:r>
      <w:r w:rsidRPr="00281694">
        <w:t>($</w:t>
      </w:r>
      <w:r>
        <w:t>1.181</w:t>
      </w:r>
      <w:r w:rsidRPr="00281694">
        <w:t>m) will go to the replacement of those pieces of equipment</w:t>
      </w:r>
      <w:r>
        <w:t xml:space="preserve"> with the Plant Replacement Reserve funding the balance of the acquisition price.</w:t>
      </w: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Capital Expenditure</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 following chart indicates where the City will commit its capital expenditure totalling $</w:t>
      </w:r>
      <w:r w:rsidRPr="00F018C5">
        <w:t>84.82m</w:t>
      </w:r>
      <w:r>
        <w:t xml:space="preserve"> for 2016/17:</w:t>
      </w:r>
    </w:p>
    <w:p w:rsidR="00476733" w:rsidRDefault="00476733" w:rsidP="00C455B6">
      <w:pPr>
        <w:tabs>
          <w:tab w:val="left" w:pos="720"/>
          <w:tab w:val="left" w:pos="1440"/>
        </w:tabs>
        <w:ind w:left="1440"/>
        <w:rPr>
          <w:noProof/>
          <w:lang w:eastAsia="en-AU"/>
        </w:rPr>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t>Table 1</w:t>
      </w:r>
      <w:r>
        <w:rPr>
          <w:rFonts w:ascii="Bookman Old Style" w:hAnsi="Bookman Old Style"/>
          <w:i/>
          <w:sz w:val="20"/>
        </w:rPr>
        <w:t>1</w:t>
      </w:r>
      <w:r w:rsidRPr="00360F32">
        <w:rPr>
          <w:rFonts w:ascii="Bookman Old Style" w:hAnsi="Bookman Old Style"/>
          <w:i/>
          <w:sz w:val="20"/>
        </w:rPr>
        <w:t xml:space="preserve"> – Capital expenditure for 2016/17</w:t>
      </w:r>
    </w:p>
    <w:tbl>
      <w:tblPr>
        <w:tblW w:w="666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950"/>
        <w:gridCol w:w="1710"/>
      </w:tblGrid>
      <w:tr w:rsidR="00476733" w:rsidRPr="003807B8" w:rsidTr="00C455B6">
        <w:trPr>
          <w:tblHeader/>
        </w:trPr>
        <w:tc>
          <w:tcPr>
            <w:tcW w:w="4950" w:type="dxa"/>
            <w:shd w:val="clear" w:color="auto" w:fill="auto"/>
          </w:tcPr>
          <w:p w:rsidR="00476733" w:rsidRPr="003807B8" w:rsidRDefault="00476733" w:rsidP="00C455B6">
            <w:pPr>
              <w:tabs>
                <w:tab w:val="left" w:pos="720"/>
                <w:tab w:val="left" w:pos="1440"/>
              </w:tabs>
              <w:jc w:val="center"/>
              <w:rPr>
                <w:rFonts w:cs="Arial"/>
                <w:b/>
                <w:sz w:val="20"/>
                <w:u w:val="single"/>
              </w:rPr>
            </w:pPr>
            <w:r w:rsidRPr="003807B8">
              <w:rPr>
                <w:rFonts w:cs="Arial"/>
                <w:b/>
                <w:sz w:val="20"/>
                <w:u w:val="single"/>
              </w:rPr>
              <w:t>Class</w:t>
            </w:r>
          </w:p>
        </w:tc>
        <w:tc>
          <w:tcPr>
            <w:tcW w:w="1710" w:type="dxa"/>
          </w:tcPr>
          <w:p w:rsidR="00476733" w:rsidRPr="00813B62" w:rsidRDefault="00476733" w:rsidP="00C455B6">
            <w:pPr>
              <w:tabs>
                <w:tab w:val="left" w:pos="720"/>
                <w:tab w:val="left" w:pos="1440"/>
              </w:tabs>
              <w:jc w:val="center"/>
              <w:rPr>
                <w:rFonts w:cs="Arial"/>
                <w:b/>
                <w:sz w:val="20"/>
              </w:rPr>
            </w:pPr>
            <w:r>
              <w:rPr>
                <w:rFonts w:cs="Arial"/>
                <w:b/>
                <w:sz w:val="20"/>
              </w:rPr>
              <w:t>$</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 xml:space="preserve">Roads </w:t>
            </w:r>
          </w:p>
        </w:tc>
        <w:tc>
          <w:tcPr>
            <w:tcW w:w="1710" w:type="dxa"/>
            <w:vAlign w:val="bottom"/>
          </w:tcPr>
          <w:p w:rsidR="00476733" w:rsidRPr="00D50550" w:rsidRDefault="00476733" w:rsidP="00C455B6">
            <w:pPr>
              <w:jc w:val="center"/>
              <w:rPr>
                <w:rFonts w:cs="Arial"/>
                <w:sz w:val="20"/>
              </w:rPr>
            </w:pPr>
            <w:r w:rsidRPr="00D50550">
              <w:rPr>
                <w:rFonts w:cs="Arial"/>
                <w:sz w:val="20"/>
              </w:rPr>
              <w:t>$10.86m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 xml:space="preserve">Footpaths </w:t>
            </w:r>
          </w:p>
        </w:tc>
        <w:tc>
          <w:tcPr>
            <w:tcW w:w="1710" w:type="dxa"/>
            <w:vAlign w:val="bottom"/>
          </w:tcPr>
          <w:p w:rsidR="00476733" w:rsidRPr="00D50550" w:rsidRDefault="00476733" w:rsidP="00C455B6">
            <w:pPr>
              <w:jc w:val="center"/>
              <w:rPr>
                <w:rFonts w:cs="Arial"/>
                <w:sz w:val="20"/>
              </w:rPr>
            </w:pPr>
            <w:r w:rsidRPr="00D50550">
              <w:rPr>
                <w:rFonts w:cs="Arial"/>
                <w:sz w:val="20"/>
              </w:rPr>
              <w:t>$1.00m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 xml:space="preserve">Drains </w:t>
            </w:r>
          </w:p>
        </w:tc>
        <w:tc>
          <w:tcPr>
            <w:tcW w:w="1710" w:type="dxa"/>
            <w:vAlign w:val="bottom"/>
          </w:tcPr>
          <w:p w:rsidR="00476733" w:rsidRPr="00D50550" w:rsidRDefault="00476733" w:rsidP="00C455B6">
            <w:pPr>
              <w:jc w:val="center"/>
              <w:rPr>
                <w:rFonts w:cs="Arial"/>
                <w:sz w:val="20"/>
              </w:rPr>
            </w:pPr>
            <w:r w:rsidRPr="00D50550">
              <w:rPr>
                <w:rFonts w:cs="Arial"/>
                <w:sz w:val="20"/>
              </w:rPr>
              <w:t>$1.15m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 xml:space="preserve">IT/IS/ICT </w:t>
            </w:r>
          </w:p>
        </w:tc>
        <w:tc>
          <w:tcPr>
            <w:tcW w:w="1710" w:type="dxa"/>
            <w:vAlign w:val="bottom"/>
          </w:tcPr>
          <w:p w:rsidR="00476733" w:rsidRPr="00D50550" w:rsidRDefault="00476733" w:rsidP="00C455B6">
            <w:pPr>
              <w:jc w:val="center"/>
              <w:rPr>
                <w:rFonts w:cs="Arial"/>
                <w:sz w:val="20"/>
              </w:rPr>
            </w:pPr>
            <w:r w:rsidRPr="00D50550">
              <w:rPr>
                <w:rFonts w:cs="Arial"/>
                <w:sz w:val="20"/>
              </w:rPr>
              <w:t>$0.48m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Parks/Environment</w:t>
            </w:r>
          </w:p>
        </w:tc>
        <w:tc>
          <w:tcPr>
            <w:tcW w:w="1710" w:type="dxa"/>
            <w:vAlign w:val="bottom"/>
          </w:tcPr>
          <w:p w:rsidR="00476733" w:rsidRPr="00D50550" w:rsidRDefault="00476733" w:rsidP="00C455B6">
            <w:pPr>
              <w:jc w:val="center"/>
              <w:rPr>
                <w:rFonts w:cs="Arial"/>
                <w:sz w:val="20"/>
              </w:rPr>
            </w:pPr>
            <w:r w:rsidRPr="00D50550">
              <w:rPr>
                <w:rFonts w:cs="Arial"/>
                <w:sz w:val="20"/>
              </w:rPr>
              <w:t>$5.</w:t>
            </w:r>
            <w:r>
              <w:rPr>
                <w:rFonts w:cs="Arial"/>
                <w:sz w:val="20"/>
              </w:rPr>
              <w:t>54</w:t>
            </w:r>
            <w:r w:rsidRPr="00D50550">
              <w:rPr>
                <w:rFonts w:cs="Arial"/>
                <w:sz w:val="20"/>
              </w:rPr>
              <w:t>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Pr>
                <w:rFonts w:cs="Arial"/>
                <w:color w:val="000000"/>
                <w:sz w:val="20"/>
              </w:rPr>
              <w:t>Parks (Other)</w:t>
            </w:r>
          </w:p>
        </w:tc>
        <w:tc>
          <w:tcPr>
            <w:tcW w:w="1710" w:type="dxa"/>
            <w:vAlign w:val="bottom"/>
          </w:tcPr>
          <w:p w:rsidR="00476733" w:rsidRPr="00D50550" w:rsidRDefault="00476733" w:rsidP="00C455B6">
            <w:pPr>
              <w:jc w:val="center"/>
              <w:rPr>
                <w:rFonts w:cs="Arial"/>
                <w:sz w:val="20"/>
              </w:rPr>
            </w:pPr>
            <w:r w:rsidRPr="00D50550">
              <w:rPr>
                <w:rFonts w:cs="Arial"/>
                <w:sz w:val="20"/>
              </w:rPr>
              <w:t>$0.95m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Facilities</w:t>
            </w:r>
          </w:p>
        </w:tc>
        <w:tc>
          <w:tcPr>
            <w:tcW w:w="1710" w:type="dxa"/>
            <w:vAlign w:val="bottom"/>
          </w:tcPr>
          <w:p w:rsidR="00476733" w:rsidRPr="00D50550" w:rsidRDefault="00476733" w:rsidP="00C455B6">
            <w:pPr>
              <w:jc w:val="center"/>
              <w:rPr>
                <w:rFonts w:cs="Arial"/>
                <w:sz w:val="20"/>
              </w:rPr>
            </w:pPr>
            <w:r w:rsidRPr="00D50550">
              <w:rPr>
                <w:rFonts w:cs="Arial"/>
                <w:sz w:val="20"/>
              </w:rPr>
              <w:t>$</w:t>
            </w:r>
            <w:r>
              <w:rPr>
                <w:rFonts w:cs="Arial"/>
                <w:sz w:val="20"/>
              </w:rPr>
              <w:t>58.65</w:t>
            </w:r>
            <w:r w:rsidRPr="00D50550">
              <w:rPr>
                <w:rFonts w:cs="Arial"/>
                <w:sz w:val="20"/>
              </w:rPr>
              <w:t>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Fleet  (Plant and Equipment)</w:t>
            </w:r>
          </w:p>
        </w:tc>
        <w:tc>
          <w:tcPr>
            <w:tcW w:w="1710" w:type="dxa"/>
            <w:vAlign w:val="bottom"/>
          </w:tcPr>
          <w:p w:rsidR="00476733" w:rsidRPr="00D50550" w:rsidRDefault="00476733" w:rsidP="00C455B6">
            <w:pPr>
              <w:jc w:val="center"/>
              <w:rPr>
                <w:rFonts w:cs="Arial"/>
                <w:sz w:val="20"/>
              </w:rPr>
            </w:pPr>
            <w:r w:rsidRPr="00D50550">
              <w:rPr>
                <w:rFonts w:cs="Arial"/>
                <w:sz w:val="20"/>
              </w:rPr>
              <w:t>$5.79m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sidRPr="00242495">
              <w:rPr>
                <w:rFonts w:cs="Arial"/>
                <w:color w:val="000000"/>
                <w:sz w:val="20"/>
              </w:rPr>
              <w:t>Artwork</w:t>
            </w:r>
          </w:p>
        </w:tc>
        <w:tc>
          <w:tcPr>
            <w:tcW w:w="1710" w:type="dxa"/>
            <w:vAlign w:val="bottom"/>
          </w:tcPr>
          <w:p w:rsidR="00476733" w:rsidRPr="00D50550" w:rsidRDefault="00476733" w:rsidP="00C455B6">
            <w:pPr>
              <w:jc w:val="center"/>
              <w:rPr>
                <w:rFonts w:cs="Arial"/>
                <w:sz w:val="20"/>
              </w:rPr>
            </w:pPr>
            <w:r w:rsidRPr="00D50550">
              <w:rPr>
                <w:rFonts w:cs="Arial"/>
                <w:sz w:val="20"/>
              </w:rPr>
              <w:t>$0.1</w:t>
            </w:r>
            <w:r>
              <w:rPr>
                <w:rFonts w:cs="Arial"/>
                <w:sz w:val="20"/>
              </w:rPr>
              <w:t>5</w:t>
            </w:r>
            <w:r w:rsidRPr="00D50550">
              <w:rPr>
                <w:rFonts w:cs="Arial"/>
                <w:sz w:val="20"/>
              </w:rPr>
              <w:t>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proofErr w:type="spellStart"/>
            <w:r>
              <w:rPr>
                <w:rFonts w:cs="Arial"/>
                <w:color w:val="000000"/>
                <w:sz w:val="20"/>
              </w:rPr>
              <w:t>HWRP</w:t>
            </w:r>
            <w:proofErr w:type="spellEnd"/>
          </w:p>
        </w:tc>
        <w:tc>
          <w:tcPr>
            <w:tcW w:w="1710" w:type="dxa"/>
            <w:vAlign w:val="bottom"/>
          </w:tcPr>
          <w:p w:rsidR="00476733" w:rsidRPr="00D50550" w:rsidRDefault="00476733" w:rsidP="00C455B6">
            <w:pPr>
              <w:jc w:val="center"/>
              <w:rPr>
                <w:rFonts w:cs="Arial"/>
                <w:sz w:val="20"/>
              </w:rPr>
            </w:pPr>
            <w:r w:rsidRPr="00D50550">
              <w:rPr>
                <w:rFonts w:cs="Arial"/>
                <w:sz w:val="20"/>
              </w:rPr>
              <w:t>$0.22m</w:t>
            </w:r>
          </w:p>
        </w:tc>
      </w:tr>
      <w:tr w:rsidR="00476733" w:rsidRPr="003807B8" w:rsidTr="00C455B6">
        <w:tc>
          <w:tcPr>
            <w:tcW w:w="4950" w:type="dxa"/>
            <w:shd w:val="clear" w:color="auto" w:fill="auto"/>
            <w:vAlign w:val="center"/>
          </w:tcPr>
          <w:p w:rsidR="00476733" w:rsidRPr="00242495" w:rsidRDefault="00476733" w:rsidP="00C455B6">
            <w:pPr>
              <w:rPr>
                <w:rFonts w:cs="Arial"/>
                <w:color w:val="000000"/>
                <w:sz w:val="20"/>
              </w:rPr>
            </w:pPr>
            <w:r>
              <w:rPr>
                <w:rFonts w:cs="Arial"/>
                <w:color w:val="000000"/>
                <w:sz w:val="20"/>
              </w:rPr>
              <w:t>Furniture</w:t>
            </w:r>
          </w:p>
        </w:tc>
        <w:tc>
          <w:tcPr>
            <w:tcW w:w="1710" w:type="dxa"/>
            <w:vAlign w:val="bottom"/>
          </w:tcPr>
          <w:p w:rsidR="00476733" w:rsidRPr="00D50550" w:rsidRDefault="00476733" w:rsidP="00C455B6">
            <w:pPr>
              <w:jc w:val="center"/>
              <w:rPr>
                <w:rFonts w:cs="Arial"/>
                <w:sz w:val="20"/>
              </w:rPr>
            </w:pPr>
            <w:r w:rsidRPr="00D50550">
              <w:rPr>
                <w:rFonts w:cs="Arial"/>
                <w:sz w:val="20"/>
              </w:rPr>
              <w:t>$0.03m</w:t>
            </w:r>
          </w:p>
        </w:tc>
      </w:tr>
      <w:tr w:rsidR="00476733" w:rsidRPr="003807B8" w:rsidTr="00C455B6">
        <w:tc>
          <w:tcPr>
            <w:tcW w:w="4950" w:type="dxa"/>
            <w:shd w:val="clear" w:color="auto" w:fill="auto"/>
          </w:tcPr>
          <w:p w:rsidR="00476733" w:rsidRPr="00242495" w:rsidRDefault="00476733" w:rsidP="00C455B6">
            <w:pPr>
              <w:rPr>
                <w:rFonts w:cs="Arial"/>
                <w:color w:val="000000"/>
                <w:sz w:val="20"/>
              </w:rPr>
            </w:pPr>
            <w:r w:rsidRPr="003807B8">
              <w:rPr>
                <w:rFonts w:cs="Arial"/>
                <w:b/>
                <w:sz w:val="20"/>
              </w:rPr>
              <w:t>Total</w:t>
            </w:r>
          </w:p>
        </w:tc>
        <w:tc>
          <w:tcPr>
            <w:tcW w:w="1710" w:type="dxa"/>
            <w:vAlign w:val="bottom"/>
          </w:tcPr>
          <w:p w:rsidR="00476733" w:rsidRPr="00D50550" w:rsidRDefault="00476733" w:rsidP="00C455B6">
            <w:pPr>
              <w:jc w:val="center"/>
              <w:rPr>
                <w:rFonts w:cs="Arial"/>
                <w:sz w:val="20"/>
              </w:rPr>
            </w:pPr>
            <w:r w:rsidRPr="00C333EF">
              <w:rPr>
                <w:rFonts w:cs="Arial"/>
                <w:b/>
                <w:sz w:val="20"/>
              </w:rPr>
              <w:t>$84.82m</w:t>
            </w:r>
          </w:p>
        </w:tc>
      </w:tr>
    </w:tbl>
    <w:p w:rsidR="00476733" w:rsidRDefault="00476733" w:rsidP="00C455B6">
      <w:pPr>
        <w:ind w:left="1440"/>
      </w:pPr>
    </w:p>
    <w:p w:rsidR="00C455B6" w:rsidRDefault="00C455B6" w:rsidP="00C455B6">
      <w:pPr>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lastRenderedPageBreak/>
        <w:t>New Projects</w:t>
      </w:r>
    </w:p>
    <w:p w:rsidR="00476733" w:rsidRDefault="00476733" w:rsidP="00C455B6">
      <w:pPr>
        <w:ind w:left="1440"/>
      </w:pPr>
    </w:p>
    <w:p w:rsidR="00476733" w:rsidRDefault="00476733" w:rsidP="00C455B6">
      <w:pPr>
        <w:ind w:left="1440"/>
      </w:pPr>
      <w:r>
        <w:t>Below is a shortened list of new projects and the capital allocated to them: For a comprehensive list of projects please refer to the attached budget – New Capital Projects 2016/</w:t>
      </w:r>
      <w:proofErr w:type="gramStart"/>
      <w:r>
        <w:t>17:</w:t>
      </w:r>
      <w:proofErr w:type="gramEnd"/>
    </w:p>
    <w:p w:rsidR="00476733" w:rsidRDefault="00476733" w:rsidP="00C455B6">
      <w:pPr>
        <w:ind w:left="1440"/>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t>Table 1</w:t>
      </w:r>
      <w:r>
        <w:rPr>
          <w:rFonts w:ascii="Bookman Old Style" w:hAnsi="Bookman Old Style"/>
          <w:i/>
          <w:sz w:val="20"/>
        </w:rPr>
        <w:t>2</w:t>
      </w:r>
      <w:r w:rsidRPr="00360F32">
        <w:rPr>
          <w:rFonts w:ascii="Bookman Old Style" w:hAnsi="Bookman Old Style"/>
          <w:i/>
          <w:sz w:val="20"/>
        </w:rPr>
        <w:t xml:space="preserve"> – Specific capital projects for 2016/17</w:t>
      </w:r>
    </w:p>
    <w:tbl>
      <w:tblPr>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6352"/>
        <w:gridCol w:w="1450"/>
      </w:tblGrid>
      <w:tr w:rsidR="00476733" w:rsidTr="00C455B6">
        <w:trPr>
          <w:trHeight w:hRule="exact" w:val="745"/>
          <w:tblHeader/>
        </w:trPr>
        <w:tc>
          <w:tcPr>
            <w:tcW w:w="6352" w:type="dxa"/>
            <w:tcBorders>
              <w:top w:val="double" w:sz="4" w:space="0" w:color="auto"/>
              <w:bottom w:val="double" w:sz="4" w:space="0" w:color="auto"/>
            </w:tcBorders>
            <w:shd w:val="clear" w:color="auto" w:fill="auto"/>
            <w:vAlign w:val="center"/>
          </w:tcPr>
          <w:p w:rsidR="00476733" w:rsidRDefault="00476733" w:rsidP="00C455B6">
            <w:pPr>
              <w:jc w:val="center"/>
            </w:pPr>
            <w:r>
              <w:rPr>
                <w:rFonts w:cs="Arial"/>
                <w:b/>
                <w:color w:val="000000"/>
                <w:sz w:val="20"/>
                <w:lang w:eastAsia="en-AU"/>
              </w:rPr>
              <w:t>New Capital Projects for 2016/17</w:t>
            </w:r>
          </w:p>
        </w:tc>
        <w:tc>
          <w:tcPr>
            <w:tcW w:w="1450" w:type="dxa"/>
            <w:tcBorders>
              <w:top w:val="double" w:sz="4" w:space="0" w:color="auto"/>
              <w:bottom w:val="double" w:sz="4" w:space="0" w:color="auto"/>
            </w:tcBorders>
            <w:shd w:val="clear" w:color="auto" w:fill="auto"/>
            <w:vAlign w:val="center"/>
          </w:tcPr>
          <w:p w:rsidR="00476733" w:rsidRDefault="00476733" w:rsidP="00C455B6">
            <w:pPr>
              <w:jc w:val="center"/>
              <w:rPr>
                <w:rFonts w:cs="Arial"/>
                <w:b/>
                <w:color w:val="000000"/>
                <w:sz w:val="20"/>
                <w:lang w:eastAsia="en-AU"/>
              </w:rPr>
            </w:pPr>
            <w:r w:rsidRPr="00EE456F">
              <w:rPr>
                <w:rFonts w:cs="Arial"/>
                <w:b/>
                <w:color w:val="000000"/>
                <w:sz w:val="20"/>
                <w:lang w:eastAsia="en-AU"/>
              </w:rPr>
              <w:t>Allocated Funds</w:t>
            </w:r>
          </w:p>
          <w:p w:rsidR="00476733" w:rsidRDefault="00476733" w:rsidP="00C455B6">
            <w:pPr>
              <w:jc w:val="center"/>
            </w:pPr>
            <w:r>
              <w:rPr>
                <w:rFonts w:cs="Arial"/>
                <w:b/>
                <w:color w:val="000000"/>
                <w:sz w:val="20"/>
                <w:lang w:eastAsia="en-AU"/>
              </w:rPr>
              <w:t>$</w:t>
            </w:r>
          </w:p>
        </w:tc>
      </w:tr>
      <w:tr w:rsidR="00476733" w:rsidRPr="00C10773" w:rsidTr="00C455B6">
        <w:tc>
          <w:tcPr>
            <w:tcW w:w="6352" w:type="dxa"/>
            <w:tcBorders>
              <w:top w:val="double" w:sz="4" w:space="0" w:color="auto"/>
            </w:tcBorders>
            <w:shd w:val="clear" w:color="auto" w:fill="auto"/>
          </w:tcPr>
          <w:p w:rsidR="00476733" w:rsidRPr="00C10773" w:rsidRDefault="00476733" w:rsidP="00C455B6">
            <w:pPr>
              <w:rPr>
                <w:rFonts w:cs="Arial"/>
                <w:sz w:val="20"/>
              </w:rPr>
            </w:pPr>
            <w:r w:rsidRPr="00C10773">
              <w:rPr>
                <w:rFonts w:cs="Arial"/>
                <w:sz w:val="20"/>
              </w:rPr>
              <w:t>Roads – Rockingham Road (Spearwood Ave to Phoenix Rd)</w:t>
            </w:r>
          </w:p>
        </w:tc>
        <w:tc>
          <w:tcPr>
            <w:tcW w:w="1450" w:type="dxa"/>
            <w:tcBorders>
              <w:top w:val="double" w:sz="4" w:space="0" w:color="auto"/>
            </w:tcBorders>
            <w:shd w:val="clear" w:color="auto" w:fill="auto"/>
          </w:tcPr>
          <w:p w:rsidR="00476733" w:rsidRPr="00C10773" w:rsidRDefault="00476733" w:rsidP="00C455B6">
            <w:pPr>
              <w:rPr>
                <w:rFonts w:cs="Arial"/>
                <w:sz w:val="20"/>
              </w:rPr>
            </w:pPr>
            <w:r w:rsidRPr="00C10773">
              <w:rPr>
                <w:rFonts w:cs="Arial"/>
                <w:sz w:val="20"/>
              </w:rPr>
              <w:t>4.0m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Roads – Lyons &amp; Gibbs signalisation &amp; traffic management</w:t>
            </w:r>
          </w:p>
        </w:tc>
        <w:tc>
          <w:tcPr>
            <w:tcW w:w="1450" w:type="dxa"/>
            <w:shd w:val="clear" w:color="auto" w:fill="auto"/>
          </w:tcPr>
          <w:p w:rsidR="00476733" w:rsidRPr="00C10773" w:rsidRDefault="00476733" w:rsidP="00C455B6">
            <w:pPr>
              <w:rPr>
                <w:rFonts w:cs="Arial"/>
                <w:sz w:val="20"/>
              </w:rPr>
            </w:pPr>
            <w:r w:rsidRPr="00C10773">
              <w:rPr>
                <w:rFonts w:cs="Arial"/>
                <w:sz w:val="20"/>
              </w:rPr>
              <w:t>2.00m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Roads – Verde Drive (Biscayne to Solomon)</w:t>
            </w:r>
          </w:p>
        </w:tc>
        <w:tc>
          <w:tcPr>
            <w:tcW w:w="1450" w:type="dxa"/>
            <w:shd w:val="clear" w:color="auto" w:fill="auto"/>
          </w:tcPr>
          <w:p w:rsidR="00476733" w:rsidRPr="00C10773" w:rsidRDefault="00476733" w:rsidP="00C455B6">
            <w:pPr>
              <w:rPr>
                <w:rFonts w:cs="Arial"/>
                <w:sz w:val="20"/>
              </w:rPr>
            </w:pPr>
            <w:r w:rsidRPr="00C10773">
              <w:rPr>
                <w:rFonts w:cs="Arial"/>
                <w:sz w:val="20"/>
              </w:rPr>
              <w:t>0.80m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Roads – Traffic Management</w:t>
            </w:r>
          </w:p>
        </w:tc>
        <w:tc>
          <w:tcPr>
            <w:tcW w:w="1450" w:type="dxa"/>
            <w:shd w:val="clear" w:color="auto" w:fill="auto"/>
          </w:tcPr>
          <w:p w:rsidR="00476733" w:rsidRPr="00C10773" w:rsidRDefault="00476733" w:rsidP="00C455B6">
            <w:pPr>
              <w:rPr>
                <w:rFonts w:cs="Arial"/>
                <w:sz w:val="20"/>
              </w:rPr>
            </w:pPr>
            <w:r w:rsidRPr="00C10773">
              <w:rPr>
                <w:rFonts w:cs="Arial"/>
                <w:sz w:val="20"/>
              </w:rPr>
              <w:t>0.84m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Completion Cockburn ARC</w:t>
            </w:r>
          </w:p>
        </w:tc>
        <w:tc>
          <w:tcPr>
            <w:tcW w:w="1450" w:type="dxa"/>
            <w:shd w:val="clear" w:color="auto" w:fill="auto"/>
          </w:tcPr>
          <w:p w:rsidR="00476733" w:rsidRPr="00C10773" w:rsidRDefault="00476733" w:rsidP="00C455B6">
            <w:pPr>
              <w:rPr>
                <w:rFonts w:cs="Arial"/>
                <w:sz w:val="20"/>
              </w:rPr>
            </w:pPr>
            <w:r w:rsidRPr="00C10773">
              <w:rPr>
                <w:rFonts w:cs="Arial"/>
                <w:sz w:val="20"/>
              </w:rPr>
              <w:t>48.00m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 xml:space="preserve">Cockburn Bowling &amp; community centre </w:t>
            </w:r>
            <w:proofErr w:type="spellStart"/>
            <w:r w:rsidRPr="00C10773">
              <w:rPr>
                <w:rFonts w:cs="Arial"/>
                <w:sz w:val="20"/>
              </w:rPr>
              <w:t>Visko</w:t>
            </w:r>
            <w:proofErr w:type="spellEnd"/>
            <w:r w:rsidRPr="00C10773">
              <w:rPr>
                <w:rFonts w:cs="Arial"/>
                <w:sz w:val="20"/>
              </w:rPr>
              <w:t xml:space="preserve"> Park (balance in 17/18)</w:t>
            </w:r>
          </w:p>
        </w:tc>
        <w:tc>
          <w:tcPr>
            <w:tcW w:w="1450" w:type="dxa"/>
            <w:shd w:val="clear" w:color="auto" w:fill="auto"/>
          </w:tcPr>
          <w:p w:rsidR="00476733" w:rsidRPr="00C10773" w:rsidRDefault="00476733" w:rsidP="00C455B6">
            <w:pPr>
              <w:rPr>
                <w:rFonts w:cs="Arial"/>
                <w:sz w:val="20"/>
              </w:rPr>
            </w:pPr>
            <w:r w:rsidRPr="00C10773">
              <w:rPr>
                <w:rFonts w:cs="Arial"/>
                <w:sz w:val="20"/>
              </w:rPr>
              <w:t>7.20m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Men’s shed</w:t>
            </w:r>
          </w:p>
        </w:tc>
        <w:tc>
          <w:tcPr>
            <w:tcW w:w="1450" w:type="dxa"/>
            <w:shd w:val="clear" w:color="auto" w:fill="auto"/>
          </w:tcPr>
          <w:p w:rsidR="00476733" w:rsidRPr="00C10773" w:rsidRDefault="00476733" w:rsidP="00C455B6">
            <w:pPr>
              <w:rPr>
                <w:rFonts w:cs="Arial"/>
                <w:sz w:val="20"/>
              </w:rPr>
            </w:pPr>
            <w:r w:rsidRPr="00C10773">
              <w:rPr>
                <w:rFonts w:cs="Arial"/>
                <w:sz w:val="20"/>
              </w:rPr>
              <w:t>0.61m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Improvements to civic and community buildings</w:t>
            </w:r>
          </w:p>
        </w:tc>
        <w:tc>
          <w:tcPr>
            <w:tcW w:w="1450" w:type="dxa"/>
            <w:shd w:val="clear" w:color="auto" w:fill="auto"/>
          </w:tcPr>
          <w:p w:rsidR="00476733" w:rsidRPr="00C10773" w:rsidRDefault="00476733" w:rsidP="00C455B6">
            <w:pPr>
              <w:rPr>
                <w:rFonts w:cs="Arial"/>
                <w:sz w:val="20"/>
              </w:rPr>
            </w:pPr>
            <w:r w:rsidRPr="00C10773">
              <w:rPr>
                <w:rFonts w:cs="Arial"/>
                <w:sz w:val="20"/>
              </w:rPr>
              <w:t>1.50m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Plant and Equipment – Replacement</w:t>
            </w:r>
          </w:p>
        </w:tc>
        <w:tc>
          <w:tcPr>
            <w:tcW w:w="1450" w:type="dxa"/>
            <w:shd w:val="clear" w:color="auto" w:fill="auto"/>
          </w:tcPr>
          <w:p w:rsidR="00476733" w:rsidRPr="00C10773" w:rsidRDefault="00476733" w:rsidP="00C455B6">
            <w:pPr>
              <w:rPr>
                <w:rFonts w:cs="Arial"/>
                <w:sz w:val="20"/>
              </w:rPr>
            </w:pPr>
            <w:r w:rsidRPr="00C10773">
              <w:rPr>
                <w:rFonts w:cs="Arial"/>
                <w:sz w:val="20"/>
              </w:rPr>
              <w:t>5.02m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Plant and Equipment – New</w:t>
            </w:r>
          </w:p>
        </w:tc>
        <w:tc>
          <w:tcPr>
            <w:tcW w:w="1450" w:type="dxa"/>
            <w:shd w:val="clear" w:color="auto" w:fill="auto"/>
          </w:tcPr>
          <w:p w:rsidR="00476733" w:rsidRPr="00C10773" w:rsidRDefault="00476733" w:rsidP="00C455B6">
            <w:pPr>
              <w:rPr>
                <w:rFonts w:cs="Arial"/>
                <w:sz w:val="20"/>
              </w:rPr>
            </w:pPr>
            <w:r w:rsidRPr="00C10773">
              <w:rPr>
                <w:rFonts w:cs="Arial"/>
                <w:sz w:val="20"/>
              </w:rPr>
              <w:t>0.70m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Revitalisation Strategy – Hamilton Hill</w:t>
            </w:r>
          </w:p>
        </w:tc>
        <w:tc>
          <w:tcPr>
            <w:tcW w:w="1450" w:type="dxa"/>
            <w:shd w:val="clear" w:color="auto" w:fill="auto"/>
          </w:tcPr>
          <w:p w:rsidR="00476733" w:rsidRPr="00C10773" w:rsidRDefault="00476733" w:rsidP="00C455B6">
            <w:pPr>
              <w:rPr>
                <w:rFonts w:cs="Arial"/>
                <w:sz w:val="20"/>
              </w:rPr>
            </w:pPr>
            <w:r w:rsidRPr="00C10773">
              <w:rPr>
                <w:rFonts w:cs="Arial"/>
                <w:sz w:val="20"/>
              </w:rPr>
              <w:t>0.90m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Revitalisation Strategy – Coolbellup</w:t>
            </w:r>
          </w:p>
        </w:tc>
        <w:tc>
          <w:tcPr>
            <w:tcW w:w="1450" w:type="dxa"/>
            <w:shd w:val="clear" w:color="auto" w:fill="auto"/>
          </w:tcPr>
          <w:p w:rsidR="00476733" w:rsidRPr="00C10773" w:rsidRDefault="00476733" w:rsidP="00C455B6">
            <w:pPr>
              <w:rPr>
                <w:rFonts w:cs="Arial"/>
                <w:sz w:val="20"/>
              </w:rPr>
            </w:pPr>
            <w:r w:rsidRPr="00C10773">
              <w:rPr>
                <w:rFonts w:cs="Arial"/>
                <w:sz w:val="20"/>
              </w:rPr>
              <w:t>0.50m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Revitalisation Strategy – The Lakes</w:t>
            </w:r>
          </w:p>
        </w:tc>
        <w:tc>
          <w:tcPr>
            <w:tcW w:w="1450" w:type="dxa"/>
            <w:shd w:val="clear" w:color="auto" w:fill="auto"/>
          </w:tcPr>
          <w:p w:rsidR="00476733" w:rsidRPr="00C10773" w:rsidRDefault="00476733" w:rsidP="00C455B6">
            <w:pPr>
              <w:rPr>
                <w:rFonts w:cs="Arial"/>
                <w:sz w:val="20"/>
              </w:rPr>
            </w:pPr>
            <w:r w:rsidRPr="00C10773">
              <w:rPr>
                <w:rFonts w:cs="Arial"/>
                <w:sz w:val="20"/>
              </w:rPr>
              <w:t>0.80m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Coogee Beach Master Plan</w:t>
            </w:r>
          </w:p>
        </w:tc>
        <w:tc>
          <w:tcPr>
            <w:tcW w:w="1450" w:type="dxa"/>
            <w:shd w:val="clear" w:color="auto" w:fill="auto"/>
          </w:tcPr>
          <w:p w:rsidR="00476733" w:rsidRPr="00C10773" w:rsidRDefault="00476733" w:rsidP="00C455B6">
            <w:pPr>
              <w:rPr>
                <w:rFonts w:cs="Arial"/>
                <w:sz w:val="20"/>
              </w:rPr>
            </w:pPr>
            <w:r w:rsidRPr="00C10773">
              <w:rPr>
                <w:rFonts w:cs="Arial"/>
                <w:sz w:val="20"/>
              </w:rPr>
              <w:t>0.50m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 xml:space="preserve">North Foreshore (North Coogee) </w:t>
            </w:r>
          </w:p>
        </w:tc>
        <w:tc>
          <w:tcPr>
            <w:tcW w:w="1450" w:type="dxa"/>
            <w:shd w:val="clear" w:color="auto" w:fill="auto"/>
          </w:tcPr>
          <w:p w:rsidR="00476733" w:rsidRPr="00C10773" w:rsidRDefault="00476733" w:rsidP="00C455B6">
            <w:pPr>
              <w:rPr>
                <w:rFonts w:cs="Arial"/>
                <w:sz w:val="20"/>
              </w:rPr>
            </w:pPr>
            <w:r w:rsidRPr="00C10773">
              <w:rPr>
                <w:rFonts w:cs="Arial"/>
                <w:sz w:val="20"/>
              </w:rPr>
              <w:t>0.50m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Drainage Works</w:t>
            </w:r>
          </w:p>
        </w:tc>
        <w:tc>
          <w:tcPr>
            <w:tcW w:w="1450" w:type="dxa"/>
            <w:shd w:val="clear" w:color="auto" w:fill="auto"/>
          </w:tcPr>
          <w:p w:rsidR="00476733" w:rsidRPr="00C10773" w:rsidRDefault="00476733" w:rsidP="00C455B6">
            <w:pPr>
              <w:rPr>
                <w:rFonts w:cs="Arial"/>
                <w:sz w:val="20"/>
              </w:rPr>
            </w:pPr>
            <w:r w:rsidRPr="00C10773">
              <w:rPr>
                <w:rFonts w:cs="Arial"/>
                <w:sz w:val="20"/>
              </w:rPr>
              <w:t>1.18m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Resurfacing of Roads</w:t>
            </w:r>
          </w:p>
        </w:tc>
        <w:tc>
          <w:tcPr>
            <w:tcW w:w="1450" w:type="dxa"/>
            <w:shd w:val="clear" w:color="auto" w:fill="auto"/>
          </w:tcPr>
          <w:p w:rsidR="00476733" w:rsidRPr="00C10773" w:rsidRDefault="00476733" w:rsidP="00C455B6">
            <w:pPr>
              <w:rPr>
                <w:rFonts w:cs="Arial"/>
                <w:sz w:val="20"/>
              </w:rPr>
            </w:pPr>
            <w:r w:rsidRPr="00C10773">
              <w:rPr>
                <w:rFonts w:cs="Arial"/>
                <w:sz w:val="20"/>
              </w:rPr>
              <w:t>0.74m</w:t>
            </w:r>
          </w:p>
        </w:tc>
      </w:tr>
      <w:tr w:rsidR="00476733" w:rsidRPr="00C10773" w:rsidTr="00C455B6">
        <w:tc>
          <w:tcPr>
            <w:tcW w:w="6352" w:type="dxa"/>
            <w:shd w:val="clear" w:color="auto" w:fill="auto"/>
          </w:tcPr>
          <w:p w:rsidR="00476733" w:rsidRPr="00C10773" w:rsidRDefault="00476733" w:rsidP="00C455B6">
            <w:pPr>
              <w:rPr>
                <w:rFonts w:cs="Arial"/>
                <w:sz w:val="20"/>
              </w:rPr>
            </w:pPr>
            <w:r w:rsidRPr="00C10773">
              <w:rPr>
                <w:rFonts w:cs="Arial"/>
                <w:sz w:val="20"/>
              </w:rPr>
              <w:t>Footpath (new and rehabilitation)</w:t>
            </w:r>
          </w:p>
        </w:tc>
        <w:tc>
          <w:tcPr>
            <w:tcW w:w="1450" w:type="dxa"/>
            <w:shd w:val="clear" w:color="auto" w:fill="auto"/>
          </w:tcPr>
          <w:p w:rsidR="00476733" w:rsidRPr="00C10773" w:rsidRDefault="00476733" w:rsidP="00C455B6">
            <w:pPr>
              <w:rPr>
                <w:rFonts w:cs="Arial"/>
                <w:sz w:val="20"/>
              </w:rPr>
            </w:pPr>
            <w:r w:rsidRPr="00C10773">
              <w:rPr>
                <w:rFonts w:cs="Arial"/>
                <w:sz w:val="20"/>
              </w:rPr>
              <w:t>1.03m</w:t>
            </w:r>
          </w:p>
        </w:tc>
      </w:tr>
    </w:tbl>
    <w:p w:rsidR="00476733" w:rsidRDefault="00476733" w:rsidP="00C455B6">
      <w:pPr>
        <w:ind w:left="1440"/>
      </w:pPr>
    </w:p>
    <w:p w:rsidR="00476733" w:rsidRPr="00C10773" w:rsidRDefault="00476733" w:rsidP="00C455B6">
      <w:pPr>
        <w:ind w:left="1440"/>
      </w:pPr>
      <w:r w:rsidRPr="00C10773">
        <w:t xml:space="preserve">An </w:t>
      </w:r>
      <w:r w:rsidRPr="005309E7">
        <w:t>estimated $7.5m i</w:t>
      </w:r>
      <w:r w:rsidRPr="00C10773">
        <w:t xml:space="preserve">n brought forward </w:t>
      </w:r>
      <w:r>
        <w:t xml:space="preserve">municipal </w:t>
      </w:r>
      <w:r w:rsidRPr="00C10773">
        <w:t xml:space="preserve">funding from 2015/16 has been budgeted to cover unfinished capital works and projects. A detailed listing will be provided to a future Council meeting, usually October once 2015/16 annual financial statements have been audited.  </w:t>
      </w:r>
    </w:p>
    <w:p w:rsidR="00476733" w:rsidRDefault="00476733" w:rsidP="00C455B6">
      <w:pPr>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Borrowings</w:t>
      </w:r>
    </w:p>
    <w:p w:rsidR="00476733" w:rsidRDefault="00476733" w:rsidP="00C455B6">
      <w:pPr>
        <w:ind w:left="1440"/>
      </w:pPr>
    </w:p>
    <w:p w:rsidR="00476733" w:rsidRDefault="00476733" w:rsidP="00C455B6">
      <w:pPr>
        <w:ind w:left="1440"/>
      </w:pPr>
      <w:r>
        <w:t>The City is not scheduled to borrow funds in 2016/17.</w:t>
      </w:r>
    </w:p>
    <w:p w:rsidR="00476733" w:rsidRDefault="00476733" w:rsidP="00C455B6">
      <w:pPr>
        <w:ind w:left="1440"/>
      </w:pPr>
    </w:p>
    <w:p w:rsidR="00476733" w:rsidRDefault="00476733" w:rsidP="00C455B6">
      <w:pPr>
        <w:ind w:left="1440"/>
      </w:pPr>
      <w:r>
        <w:t>In addition the City will continue repaying the principal for its existing two loans. Total repayments will be $2.6m to cover the Emergency Services Centre and Cockburn ARC facilities.</w:t>
      </w:r>
    </w:p>
    <w:p w:rsidR="00476733" w:rsidRDefault="00476733" w:rsidP="00C455B6">
      <w:pPr>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Reserves</w:t>
      </w:r>
    </w:p>
    <w:p w:rsidR="00476733" w:rsidRDefault="00476733" w:rsidP="00C455B6">
      <w:pPr>
        <w:ind w:left="1440"/>
      </w:pPr>
    </w:p>
    <w:p w:rsidR="00476733" w:rsidRDefault="00476733" w:rsidP="00C455B6">
      <w:pPr>
        <w:ind w:left="1440"/>
      </w:pPr>
      <w:r>
        <w:t xml:space="preserve">The City has a pro-active Ten Year Long Term Financial Plan which includes funding its financial reserves. The City places great importance in planning for the future and ensuring it has sufficient funds to complete major projects now and into the future. In this budget, Council will </w:t>
      </w:r>
      <w:r w:rsidRPr="00953D81">
        <w:t>transfer</w:t>
      </w:r>
      <w:r>
        <w:t xml:space="preserve"> into its financial reserves</w:t>
      </w:r>
      <w:r w:rsidRPr="00953D81">
        <w:t xml:space="preserve"> </w:t>
      </w:r>
      <w:r w:rsidRPr="00961F31">
        <w:t>$33.6m</w:t>
      </w:r>
      <w:r w:rsidRPr="00953D81">
        <w:t xml:space="preserve"> </w:t>
      </w:r>
      <w:r>
        <w:t>plus an estimated $10.5m of brought forward funds ($7.5m for carried forward projects and #.0m from estimated budget savings for 2015/16). However, it</w:t>
      </w:r>
      <w:r w:rsidRPr="00953D81">
        <w:t xml:space="preserve"> will draw down </w:t>
      </w:r>
      <w:r w:rsidRPr="00961F31">
        <w:t>$52.6m</w:t>
      </w:r>
      <w:r>
        <w:t xml:space="preserve"> to fund a series of major capital </w:t>
      </w:r>
      <w:r>
        <w:lastRenderedPageBreak/>
        <w:t xml:space="preserve">projects, such as the Cockburn ARC at </w:t>
      </w:r>
      <w:proofErr w:type="spellStart"/>
      <w:r>
        <w:t>CCW</w:t>
      </w:r>
      <w:proofErr w:type="spellEnd"/>
      <w:r>
        <w:t xml:space="preserve"> and the new Cockburn Bowling Club at </w:t>
      </w:r>
      <w:proofErr w:type="spellStart"/>
      <w:r>
        <w:t>Visko</w:t>
      </w:r>
      <w:proofErr w:type="spellEnd"/>
      <w:r>
        <w:t xml:space="preserve"> Park.</w:t>
      </w:r>
    </w:p>
    <w:p w:rsidR="00476733" w:rsidRDefault="00476733" w:rsidP="00C455B6">
      <w:pPr>
        <w:ind w:left="1440"/>
      </w:pPr>
    </w:p>
    <w:p w:rsidR="00476733" w:rsidRDefault="00476733" w:rsidP="00C455B6">
      <w:pPr>
        <w:ind w:left="1440"/>
      </w:pPr>
      <w:r>
        <w:t>At the same time the City is still reserving funds received from the Development Contribution Plan (a levy on all new dwelling for community infrastructure), rent from the Naval Base Shacks Leases and Coogee Beach Caravan Park (to fund capital works). It is anticipated that the City will receive $5.0m in 2016/17 from developer contributions for community infrastructure in addition to funds for roads and other “hard” infrastructure.</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rPr>
          <w:rFonts w:cs="Arial"/>
        </w:rPr>
      </w:pPr>
      <w:r>
        <w:t xml:space="preserve">The City will create two new reserves to facilitate the transfer of management and maintenance obligations for the Port Coogee marina and waterways. One will hold the $2.1m contribution to be received from the developer upon transfer of the assets and the other will be for managing the proceeds from the specified area rate to be established to </w:t>
      </w:r>
      <w:r w:rsidRPr="00901369">
        <w:rPr>
          <w:rFonts w:cs="Arial"/>
        </w:rPr>
        <w:t xml:space="preserve">fund </w:t>
      </w:r>
      <w:r>
        <w:rPr>
          <w:rFonts w:cs="Arial"/>
        </w:rPr>
        <w:t xml:space="preserve">ongoing </w:t>
      </w:r>
      <w:r w:rsidRPr="00901369">
        <w:rPr>
          <w:rFonts w:cs="Arial"/>
        </w:rPr>
        <w:t>maintenance of the waterways and associated infrastructure assets.</w:t>
      </w:r>
    </w:p>
    <w:p w:rsidR="00476733" w:rsidRDefault="00476733" w:rsidP="00C455B6">
      <w:pPr>
        <w:tabs>
          <w:tab w:val="left" w:pos="720"/>
          <w:tab w:val="left" w:pos="1440"/>
        </w:tabs>
        <w:ind w:left="1440"/>
        <w:rPr>
          <w:rFonts w:cs="Arial"/>
        </w:rPr>
      </w:pPr>
    </w:p>
    <w:p w:rsidR="00476733" w:rsidRDefault="00476733" w:rsidP="00C455B6">
      <w:pPr>
        <w:tabs>
          <w:tab w:val="left" w:pos="720"/>
          <w:tab w:val="left" w:pos="1440"/>
        </w:tabs>
        <w:ind w:left="1440"/>
        <w:rPr>
          <w:rFonts w:cs="Arial"/>
        </w:rPr>
      </w:pPr>
      <w:r>
        <w:rPr>
          <w:rFonts w:cs="Arial"/>
        </w:rPr>
        <w:t xml:space="preserve">The Workers Compensation Reserve is being broadened to an Insurance Reserve to reflect the current management of the </w:t>
      </w:r>
      <w:proofErr w:type="spellStart"/>
      <w:r>
        <w:rPr>
          <w:rFonts w:cs="Arial"/>
        </w:rPr>
        <w:t>LGIS</w:t>
      </w:r>
      <w:proofErr w:type="spellEnd"/>
      <w:r>
        <w:rPr>
          <w:rFonts w:cs="Arial"/>
        </w:rPr>
        <w:t xml:space="preserve"> self-insurance scheme, which includes workers compensation, public liability and property insurance.</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Rate Setting Statement</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The Rate Setting Statement is a unique financial statement applicable to WA Local Governments. The purpose of the statement is to determine the amount of rates to be collected from property owners after the inclusion of operating income (excluding rates), Operating expenditure, capital income and expenditure, reserve transfers (to and from reserves) plus loan repayments and new borrowings. The statement also adds back the cash generated by depreciation. The deficit after inclusion of the above is to be raised from rates as provided for in the Local Government Act. The rates to be raised in 2016/17 total </w:t>
      </w:r>
      <w:r w:rsidRPr="00DB11A0">
        <w:t>$</w:t>
      </w:r>
      <w:r>
        <w:t>96.0</w:t>
      </w:r>
      <w:r w:rsidRPr="00DB11A0">
        <w:t>m</w:t>
      </w:r>
      <w:r>
        <w:t>. Rates only include general rates and not service charges, specified area rates, interest from instalments and penalty interest or instalment fees.</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proofErr w:type="spellStart"/>
      <w:r w:rsidRPr="00235906">
        <w:rPr>
          <w:rFonts w:ascii="Bookman Old Style" w:hAnsi="Bookman Old Style"/>
          <w:i/>
        </w:rPr>
        <w:t>Cashflow</w:t>
      </w:r>
      <w:proofErr w:type="spellEnd"/>
      <w:r w:rsidRPr="00235906">
        <w:rPr>
          <w:rFonts w:ascii="Bookman Old Style" w:hAnsi="Bookman Old Style"/>
          <w:i/>
        </w:rPr>
        <w:t xml:space="preserve"> Statement</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The </w:t>
      </w:r>
      <w:proofErr w:type="spellStart"/>
      <w:r>
        <w:t>Cashflow</w:t>
      </w:r>
      <w:proofErr w:type="spellEnd"/>
      <w:r>
        <w:t xml:space="preserve"> Statement is presented with other statutory financial statements. It presents the cash the Council will generate and expend in running its day to day business, capital investment program – both capital income and expenditure as well as funds required to finance both the operating and investment (capital) program:</w:t>
      </w:r>
    </w:p>
    <w:p w:rsidR="00476733" w:rsidRDefault="00476733" w:rsidP="00C455B6">
      <w:pPr>
        <w:tabs>
          <w:tab w:val="left" w:pos="720"/>
          <w:tab w:val="left" w:pos="1440"/>
        </w:tabs>
        <w:ind w:left="1440"/>
      </w:pPr>
    </w:p>
    <w:p w:rsidR="00476733" w:rsidRPr="00F018C5" w:rsidRDefault="00476733" w:rsidP="00C455B6">
      <w:pPr>
        <w:pStyle w:val="ListParagraph"/>
        <w:numPr>
          <w:ilvl w:val="0"/>
          <w:numId w:val="26"/>
        </w:numPr>
        <w:tabs>
          <w:tab w:val="left" w:pos="720"/>
          <w:tab w:val="left" w:pos="1440"/>
        </w:tabs>
        <w:ind w:left="1800"/>
      </w:pPr>
      <w:r w:rsidRPr="00F018C5">
        <w:t xml:space="preserve">Net operating </w:t>
      </w:r>
      <w:proofErr w:type="spellStart"/>
      <w:r w:rsidRPr="00F018C5">
        <w:t>cashflows</w:t>
      </w:r>
      <w:proofErr w:type="spellEnd"/>
      <w:r w:rsidRPr="00F018C5">
        <w:t xml:space="preserve"> are $32.72m</w:t>
      </w:r>
    </w:p>
    <w:p w:rsidR="00476733" w:rsidRPr="00F018C5" w:rsidRDefault="00476733" w:rsidP="00C455B6">
      <w:pPr>
        <w:pStyle w:val="ListParagraph"/>
        <w:numPr>
          <w:ilvl w:val="0"/>
          <w:numId w:val="26"/>
        </w:numPr>
        <w:tabs>
          <w:tab w:val="left" w:pos="720"/>
          <w:tab w:val="left" w:pos="1440"/>
        </w:tabs>
        <w:ind w:left="1800"/>
      </w:pPr>
      <w:r w:rsidRPr="00F018C5">
        <w:t xml:space="preserve">Net investment </w:t>
      </w:r>
      <w:proofErr w:type="spellStart"/>
      <w:r w:rsidRPr="00F018C5">
        <w:t>cashflows</w:t>
      </w:r>
      <w:proofErr w:type="spellEnd"/>
      <w:r w:rsidRPr="00F018C5">
        <w:t xml:space="preserve"> are ($48.59m)</w:t>
      </w:r>
    </w:p>
    <w:p w:rsidR="00476733" w:rsidRPr="00F018C5" w:rsidRDefault="00476733" w:rsidP="00C455B6">
      <w:pPr>
        <w:pStyle w:val="ListParagraph"/>
        <w:numPr>
          <w:ilvl w:val="0"/>
          <w:numId w:val="26"/>
        </w:numPr>
        <w:tabs>
          <w:tab w:val="left" w:pos="720"/>
          <w:tab w:val="left" w:pos="1440"/>
        </w:tabs>
        <w:ind w:left="1800"/>
      </w:pPr>
      <w:r w:rsidRPr="00F018C5">
        <w:t>Net Financing Cash is ($2.59m)</w:t>
      </w:r>
    </w:p>
    <w:p w:rsidR="00476733" w:rsidRPr="00F018C5" w:rsidRDefault="00476733" w:rsidP="00C455B6">
      <w:pPr>
        <w:pStyle w:val="ListParagraph"/>
        <w:numPr>
          <w:ilvl w:val="0"/>
          <w:numId w:val="26"/>
        </w:numPr>
        <w:tabs>
          <w:tab w:val="left" w:pos="720"/>
          <w:tab w:val="left" w:pos="1440"/>
        </w:tabs>
        <w:ind w:left="1800"/>
      </w:pPr>
      <w:r w:rsidRPr="00F018C5">
        <w:lastRenderedPageBreak/>
        <w:t xml:space="preserve">Overall </w:t>
      </w:r>
      <w:proofErr w:type="spellStart"/>
      <w:r w:rsidRPr="00F018C5">
        <w:t>cashflow</w:t>
      </w:r>
      <w:proofErr w:type="spellEnd"/>
      <w:r w:rsidRPr="00F018C5">
        <w:t xml:space="preserve"> is ($18.46m)</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rsidRPr="00953D81">
        <w:t>The City will commence the year with $</w:t>
      </w:r>
      <w:r>
        <w:t>133,351,966</w:t>
      </w:r>
      <w:r w:rsidRPr="00953D81">
        <w:t xml:space="preserve"> </w:t>
      </w:r>
      <w:r>
        <w:t xml:space="preserve">in </w:t>
      </w:r>
      <w:r w:rsidRPr="00953D81">
        <w:t>cash</w:t>
      </w:r>
      <w:r>
        <w:t>, including that</w:t>
      </w:r>
      <w:r w:rsidRPr="00953D81">
        <w:t xml:space="preserve"> held in Reserves/Restricted Funds</w:t>
      </w:r>
      <w:r>
        <w:t>. A</w:t>
      </w:r>
      <w:r w:rsidRPr="00953D81">
        <w:t xml:space="preserve">fter Items 1 to </w:t>
      </w:r>
      <w:r>
        <w:t>3</w:t>
      </w:r>
      <w:r w:rsidRPr="00953D81">
        <w:t xml:space="preserve"> above</w:t>
      </w:r>
      <w:r>
        <w:t xml:space="preserve">, the City </w:t>
      </w:r>
      <w:r w:rsidRPr="00953D81">
        <w:t xml:space="preserve">will </w:t>
      </w:r>
      <w:r>
        <w:t>finish the year with</w:t>
      </w:r>
      <w:r w:rsidRPr="00953D81">
        <w:t xml:space="preserve"> a closing cash position of </w:t>
      </w:r>
      <w:r w:rsidRPr="00961F31">
        <w:t>$</w:t>
      </w:r>
      <w:r>
        <w:t>114,885,061</w:t>
      </w:r>
      <w:r w:rsidRPr="00953D81">
        <w:t>.</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Integrated Planning Framework</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Council adopted its Strategic Community Plan 2016/17 – 2020/21 and the Corporate Business Plan 2016/17 – 2020/21 at the June 2016 Ordinary Council Meeting. In addition a number of other plans were also </w:t>
      </w:r>
      <w:proofErr w:type="gramStart"/>
      <w:r>
        <w:t>adopted,</w:t>
      </w:r>
      <w:proofErr w:type="gramEnd"/>
      <w:r>
        <w:t xml:space="preserve"> these include the Long Term Financial Plan and the Workforce Plan. Each Plan will be updated every two financial years.  Council has a further seventy strategic plans, master plans and other plans adopted by council which feed into the above documents including the 2016/17 municipal budget.</w:t>
      </w:r>
    </w:p>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Long Term Financial Plan</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Council adopted a new Long Term Financial Plan for the period 2016/17 to 2025/26, a period of ten years. The </w:t>
      </w:r>
      <w:proofErr w:type="spellStart"/>
      <w:r>
        <w:t>LTFP</w:t>
      </w:r>
      <w:proofErr w:type="spellEnd"/>
      <w:r>
        <w:t xml:space="preserve"> will be reviewed each financial year in line with the adopted budget so as to ensure financial relevance.  Based on the draft budget contained in the attached papers the former </w:t>
      </w:r>
      <w:proofErr w:type="spellStart"/>
      <w:r>
        <w:t>LTFP</w:t>
      </w:r>
      <w:proofErr w:type="spellEnd"/>
      <w:r>
        <w:t xml:space="preserve"> and analysis is provided below of the variations to the </w:t>
      </w:r>
      <w:proofErr w:type="spellStart"/>
      <w:r>
        <w:t>LTFP</w:t>
      </w:r>
      <w:proofErr w:type="spellEnd"/>
      <w:r>
        <w:t xml:space="preserve"> (the comparison is based on the 2012/13-2021/22 </w:t>
      </w:r>
      <w:proofErr w:type="spellStart"/>
      <w:r>
        <w:t>LTFP</w:t>
      </w:r>
      <w:proofErr w:type="spellEnd"/>
      <w:r>
        <w:t>).</w:t>
      </w:r>
    </w:p>
    <w:p w:rsidR="00476733" w:rsidRPr="00360F32" w:rsidRDefault="00476733" w:rsidP="00C455B6">
      <w:pPr>
        <w:tabs>
          <w:tab w:val="left" w:pos="720"/>
          <w:tab w:val="left" w:pos="1440"/>
        </w:tabs>
        <w:ind w:left="1440"/>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t>Table 1</w:t>
      </w:r>
      <w:r>
        <w:rPr>
          <w:rFonts w:ascii="Bookman Old Style" w:hAnsi="Bookman Old Style"/>
          <w:i/>
          <w:sz w:val="20"/>
        </w:rPr>
        <w:t>3</w:t>
      </w:r>
      <w:r w:rsidRPr="00360F32">
        <w:rPr>
          <w:rFonts w:ascii="Bookman Old Style" w:hAnsi="Bookman Old Style"/>
          <w:i/>
          <w:sz w:val="20"/>
        </w:rPr>
        <w:t xml:space="preserve"> – Comparison of </w:t>
      </w:r>
      <w:proofErr w:type="spellStart"/>
      <w:r w:rsidRPr="00360F32">
        <w:rPr>
          <w:rFonts w:ascii="Bookman Old Style" w:hAnsi="Bookman Old Style"/>
          <w:i/>
          <w:sz w:val="20"/>
        </w:rPr>
        <w:t>LTFP</w:t>
      </w:r>
      <w:proofErr w:type="spellEnd"/>
      <w:r w:rsidRPr="00360F32">
        <w:rPr>
          <w:rFonts w:ascii="Bookman Old Style" w:hAnsi="Bookman Old Style"/>
          <w:i/>
          <w:sz w:val="20"/>
        </w:rPr>
        <w:t xml:space="preserve"> and Budget for 2016/17</w:t>
      </w:r>
    </w:p>
    <w:tbl>
      <w:tblPr>
        <w:tblW w:w="0" w:type="auto"/>
        <w:tblInd w:w="144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2354"/>
        <w:gridCol w:w="1354"/>
        <w:gridCol w:w="1530"/>
        <w:gridCol w:w="2564"/>
      </w:tblGrid>
      <w:tr w:rsidR="00476733" w:rsidRPr="003807B8" w:rsidTr="00C455B6">
        <w:trPr>
          <w:tblHeader/>
        </w:trPr>
        <w:tc>
          <w:tcPr>
            <w:tcW w:w="2354" w:type="dxa"/>
            <w:tcBorders>
              <w:top w:val="double" w:sz="4" w:space="0" w:color="auto"/>
              <w:bottom w:val="double" w:sz="4" w:space="0" w:color="auto"/>
            </w:tcBorders>
            <w:shd w:val="clear" w:color="auto" w:fill="auto"/>
            <w:vAlign w:val="center"/>
          </w:tcPr>
          <w:p w:rsidR="00476733" w:rsidRPr="003807B8" w:rsidRDefault="00476733" w:rsidP="00C455B6">
            <w:pPr>
              <w:tabs>
                <w:tab w:val="left" w:pos="720"/>
                <w:tab w:val="left" w:pos="1440"/>
              </w:tabs>
              <w:jc w:val="center"/>
              <w:rPr>
                <w:b/>
                <w:sz w:val="20"/>
              </w:rPr>
            </w:pPr>
          </w:p>
        </w:tc>
        <w:tc>
          <w:tcPr>
            <w:tcW w:w="1354" w:type="dxa"/>
            <w:tcBorders>
              <w:top w:val="double" w:sz="4" w:space="0" w:color="auto"/>
              <w:bottom w:val="double" w:sz="4" w:space="0" w:color="auto"/>
            </w:tcBorders>
            <w:shd w:val="clear" w:color="auto" w:fill="auto"/>
            <w:vAlign w:val="center"/>
          </w:tcPr>
          <w:p w:rsidR="00476733" w:rsidRPr="003807B8" w:rsidRDefault="00476733" w:rsidP="00C455B6">
            <w:pPr>
              <w:tabs>
                <w:tab w:val="left" w:pos="720"/>
                <w:tab w:val="left" w:pos="1440"/>
              </w:tabs>
              <w:jc w:val="center"/>
              <w:rPr>
                <w:b/>
                <w:sz w:val="20"/>
              </w:rPr>
            </w:pPr>
            <w:r>
              <w:rPr>
                <w:b/>
                <w:sz w:val="20"/>
              </w:rPr>
              <w:t>2016/17</w:t>
            </w:r>
            <w:r w:rsidRPr="003807B8">
              <w:rPr>
                <w:b/>
                <w:sz w:val="20"/>
              </w:rPr>
              <w:t xml:space="preserve"> </w:t>
            </w:r>
            <w:r>
              <w:rPr>
                <w:b/>
                <w:sz w:val="20"/>
              </w:rPr>
              <w:t xml:space="preserve">(former </w:t>
            </w:r>
            <w:proofErr w:type="spellStart"/>
            <w:r w:rsidRPr="003807B8">
              <w:rPr>
                <w:b/>
                <w:sz w:val="20"/>
              </w:rPr>
              <w:t>LTFP</w:t>
            </w:r>
            <w:proofErr w:type="spellEnd"/>
            <w:r>
              <w:rPr>
                <w:b/>
                <w:sz w:val="20"/>
              </w:rPr>
              <w:t>)</w:t>
            </w:r>
          </w:p>
        </w:tc>
        <w:tc>
          <w:tcPr>
            <w:tcW w:w="1530" w:type="dxa"/>
            <w:tcBorders>
              <w:top w:val="double" w:sz="4" w:space="0" w:color="auto"/>
              <w:bottom w:val="double" w:sz="4" w:space="0" w:color="auto"/>
            </w:tcBorders>
            <w:shd w:val="clear" w:color="auto" w:fill="auto"/>
            <w:vAlign w:val="center"/>
          </w:tcPr>
          <w:p w:rsidR="00476733" w:rsidRPr="003807B8" w:rsidRDefault="00476733" w:rsidP="00C455B6">
            <w:pPr>
              <w:tabs>
                <w:tab w:val="left" w:pos="720"/>
                <w:tab w:val="left" w:pos="1440"/>
              </w:tabs>
              <w:jc w:val="center"/>
              <w:rPr>
                <w:b/>
                <w:sz w:val="20"/>
              </w:rPr>
            </w:pPr>
            <w:r>
              <w:rPr>
                <w:b/>
                <w:sz w:val="20"/>
              </w:rPr>
              <w:t>2016/17</w:t>
            </w:r>
            <w:r w:rsidRPr="003807B8">
              <w:rPr>
                <w:b/>
                <w:sz w:val="20"/>
              </w:rPr>
              <w:t xml:space="preserve"> Municipal Budget</w:t>
            </w:r>
          </w:p>
        </w:tc>
        <w:tc>
          <w:tcPr>
            <w:tcW w:w="2564" w:type="dxa"/>
            <w:tcBorders>
              <w:top w:val="double" w:sz="4" w:space="0" w:color="auto"/>
              <w:bottom w:val="double" w:sz="4" w:space="0" w:color="auto"/>
            </w:tcBorders>
            <w:shd w:val="clear" w:color="auto" w:fill="auto"/>
            <w:vAlign w:val="center"/>
          </w:tcPr>
          <w:p w:rsidR="00476733" w:rsidRPr="003807B8" w:rsidRDefault="00476733" w:rsidP="00C455B6">
            <w:pPr>
              <w:tabs>
                <w:tab w:val="left" w:pos="720"/>
                <w:tab w:val="left" w:pos="1440"/>
              </w:tabs>
              <w:jc w:val="center"/>
              <w:rPr>
                <w:b/>
                <w:sz w:val="20"/>
              </w:rPr>
            </w:pPr>
            <w:r w:rsidRPr="003807B8">
              <w:rPr>
                <w:b/>
                <w:sz w:val="20"/>
              </w:rPr>
              <w:t>Comment</w:t>
            </w:r>
          </w:p>
        </w:tc>
      </w:tr>
      <w:tr w:rsidR="00476733" w:rsidRPr="003807B8" w:rsidTr="00C455B6">
        <w:tc>
          <w:tcPr>
            <w:tcW w:w="2354" w:type="dxa"/>
            <w:tcBorders>
              <w:top w:val="double" w:sz="4" w:space="0" w:color="auto"/>
            </w:tcBorders>
            <w:shd w:val="clear" w:color="auto" w:fill="auto"/>
          </w:tcPr>
          <w:p w:rsidR="00476733" w:rsidRPr="000E5801" w:rsidRDefault="00476733" w:rsidP="00C455B6">
            <w:pPr>
              <w:tabs>
                <w:tab w:val="left" w:pos="720"/>
                <w:tab w:val="left" w:pos="1440"/>
              </w:tabs>
              <w:jc w:val="left"/>
              <w:rPr>
                <w:sz w:val="20"/>
              </w:rPr>
            </w:pPr>
            <w:r w:rsidRPr="000E5801">
              <w:rPr>
                <w:sz w:val="20"/>
              </w:rPr>
              <w:t>Operating Revenue</w:t>
            </w:r>
          </w:p>
        </w:tc>
        <w:tc>
          <w:tcPr>
            <w:tcW w:w="1354" w:type="dxa"/>
            <w:tcBorders>
              <w:top w:val="double" w:sz="4" w:space="0" w:color="auto"/>
            </w:tcBorders>
            <w:shd w:val="clear" w:color="auto" w:fill="auto"/>
          </w:tcPr>
          <w:p w:rsidR="00476733" w:rsidRPr="000E5801" w:rsidRDefault="00476733" w:rsidP="00C455B6">
            <w:pPr>
              <w:tabs>
                <w:tab w:val="left" w:pos="720"/>
                <w:tab w:val="left" w:pos="1440"/>
              </w:tabs>
              <w:jc w:val="center"/>
              <w:rPr>
                <w:sz w:val="20"/>
              </w:rPr>
            </w:pPr>
            <w:r w:rsidRPr="000E5801">
              <w:rPr>
                <w:sz w:val="20"/>
              </w:rPr>
              <w:t>$</w:t>
            </w:r>
            <w:r>
              <w:rPr>
                <w:sz w:val="20"/>
              </w:rPr>
              <w:t>142.038</w:t>
            </w:r>
            <w:r w:rsidRPr="000E5801">
              <w:rPr>
                <w:sz w:val="20"/>
              </w:rPr>
              <w:t>m</w:t>
            </w:r>
          </w:p>
        </w:tc>
        <w:tc>
          <w:tcPr>
            <w:tcW w:w="1530" w:type="dxa"/>
            <w:tcBorders>
              <w:top w:val="double" w:sz="4" w:space="0" w:color="auto"/>
            </w:tcBorders>
            <w:shd w:val="clear" w:color="auto" w:fill="auto"/>
          </w:tcPr>
          <w:p w:rsidR="00476733" w:rsidRPr="000E5801" w:rsidRDefault="00476733" w:rsidP="00C455B6">
            <w:pPr>
              <w:tabs>
                <w:tab w:val="left" w:pos="720"/>
                <w:tab w:val="left" w:pos="1440"/>
              </w:tabs>
              <w:jc w:val="center"/>
              <w:rPr>
                <w:sz w:val="20"/>
              </w:rPr>
            </w:pPr>
            <w:r w:rsidRPr="000E5801">
              <w:rPr>
                <w:sz w:val="20"/>
              </w:rPr>
              <w:t>$135.91m</w:t>
            </w:r>
          </w:p>
        </w:tc>
        <w:tc>
          <w:tcPr>
            <w:tcW w:w="2564" w:type="dxa"/>
            <w:tcBorders>
              <w:top w:val="double" w:sz="4" w:space="0" w:color="auto"/>
            </w:tcBorders>
            <w:shd w:val="clear" w:color="auto" w:fill="auto"/>
          </w:tcPr>
          <w:p w:rsidR="00476733" w:rsidRPr="000E5801" w:rsidRDefault="00476733" w:rsidP="00C455B6">
            <w:pPr>
              <w:tabs>
                <w:tab w:val="left" w:pos="720"/>
                <w:tab w:val="left" w:pos="1440"/>
              </w:tabs>
              <w:jc w:val="left"/>
              <w:rPr>
                <w:sz w:val="20"/>
              </w:rPr>
            </w:pPr>
            <w:r w:rsidRPr="000E5801">
              <w:rPr>
                <w:sz w:val="20"/>
              </w:rPr>
              <w:t xml:space="preserve">Lower fees and charges for </w:t>
            </w:r>
            <w:proofErr w:type="spellStart"/>
            <w:r w:rsidRPr="000E5801">
              <w:rPr>
                <w:sz w:val="20"/>
              </w:rPr>
              <w:t>HWRP</w:t>
            </w:r>
            <w:proofErr w:type="spellEnd"/>
          </w:p>
        </w:tc>
      </w:tr>
      <w:tr w:rsidR="00476733" w:rsidRPr="003807B8" w:rsidTr="00C455B6">
        <w:tc>
          <w:tcPr>
            <w:tcW w:w="2354" w:type="dxa"/>
            <w:shd w:val="clear" w:color="auto" w:fill="auto"/>
          </w:tcPr>
          <w:p w:rsidR="00476733" w:rsidRPr="000E5801" w:rsidRDefault="00476733" w:rsidP="00C455B6">
            <w:pPr>
              <w:tabs>
                <w:tab w:val="left" w:pos="720"/>
                <w:tab w:val="left" w:pos="1440"/>
              </w:tabs>
              <w:jc w:val="left"/>
              <w:rPr>
                <w:sz w:val="20"/>
              </w:rPr>
            </w:pPr>
            <w:r w:rsidRPr="000E5801">
              <w:rPr>
                <w:sz w:val="20"/>
              </w:rPr>
              <w:t>Operating Expenditure</w:t>
            </w:r>
          </w:p>
        </w:tc>
        <w:tc>
          <w:tcPr>
            <w:tcW w:w="1354" w:type="dxa"/>
            <w:shd w:val="clear" w:color="auto" w:fill="auto"/>
          </w:tcPr>
          <w:p w:rsidR="00476733" w:rsidRPr="000E5801" w:rsidRDefault="00476733" w:rsidP="00C455B6">
            <w:pPr>
              <w:tabs>
                <w:tab w:val="left" w:pos="720"/>
                <w:tab w:val="left" w:pos="1440"/>
              </w:tabs>
              <w:jc w:val="center"/>
              <w:rPr>
                <w:sz w:val="20"/>
              </w:rPr>
            </w:pPr>
            <w:r w:rsidRPr="000E5801">
              <w:rPr>
                <w:sz w:val="20"/>
              </w:rPr>
              <w:t>$</w:t>
            </w:r>
            <w:r>
              <w:rPr>
                <w:sz w:val="20"/>
              </w:rPr>
              <w:t>129.27</w:t>
            </w:r>
            <w:r w:rsidRPr="000E5801">
              <w:rPr>
                <w:sz w:val="20"/>
              </w:rPr>
              <w:t>m</w:t>
            </w:r>
          </w:p>
        </w:tc>
        <w:tc>
          <w:tcPr>
            <w:tcW w:w="1530" w:type="dxa"/>
            <w:shd w:val="clear" w:color="auto" w:fill="auto"/>
          </w:tcPr>
          <w:p w:rsidR="00476733" w:rsidRPr="000E5801" w:rsidRDefault="00476733" w:rsidP="00C455B6">
            <w:pPr>
              <w:tabs>
                <w:tab w:val="left" w:pos="720"/>
                <w:tab w:val="left" w:pos="1440"/>
              </w:tabs>
              <w:jc w:val="center"/>
              <w:rPr>
                <w:sz w:val="20"/>
              </w:rPr>
            </w:pPr>
            <w:r w:rsidRPr="000E5801">
              <w:rPr>
                <w:sz w:val="20"/>
              </w:rPr>
              <w:t>$130.</w:t>
            </w:r>
            <w:r>
              <w:rPr>
                <w:sz w:val="20"/>
              </w:rPr>
              <w:t>7</w:t>
            </w:r>
            <w:r w:rsidRPr="000E5801">
              <w:rPr>
                <w:sz w:val="20"/>
              </w:rPr>
              <w:t>4m</w:t>
            </w:r>
          </w:p>
        </w:tc>
        <w:tc>
          <w:tcPr>
            <w:tcW w:w="2564" w:type="dxa"/>
            <w:shd w:val="clear" w:color="auto" w:fill="auto"/>
          </w:tcPr>
          <w:p w:rsidR="00476733" w:rsidRPr="000E5801" w:rsidRDefault="00476733" w:rsidP="00C455B6">
            <w:pPr>
              <w:tabs>
                <w:tab w:val="left" w:pos="720"/>
                <w:tab w:val="left" w:pos="1440"/>
              </w:tabs>
              <w:jc w:val="left"/>
              <w:rPr>
                <w:sz w:val="20"/>
              </w:rPr>
            </w:pPr>
            <w:r w:rsidRPr="000E5801">
              <w:rPr>
                <w:sz w:val="20"/>
              </w:rPr>
              <w:t xml:space="preserve">Lower interest expense &amp; </w:t>
            </w:r>
            <w:proofErr w:type="spellStart"/>
            <w:r w:rsidRPr="000E5801">
              <w:rPr>
                <w:sz w:val="20"/>
              </w:rPr>
              <w:t>LFL</w:t>
            </w:r>
            <w:proofErr w:type="spellEnd"/>
            <w:r w:rsidRPr="000E5801">
              <w:rPr>
                <w:sz w:val="20"/>
              </w:rPr>
              <w:t xml:space="preserve"> but higher power, </w:t>
            </w:r>
            <w:proofErr w:type="spellStart"/>
            <w:r w:rsidRPr="000E5801">
              <w:rPr>
                <w:sz w:val="20"/>
              </w:rPr>
              <w:t>depn</w:t>
            </w:r>
            <w:proofErr w:type="spellEnd"/>
            <w:r w:rsidRPr="000E5801">
              <w:rPr>
                <w:sz w:val="20"/>
              </w:rPr>
              <w:t xml:space="preserve"> costs</w:t>
            </w:r>
          </w:p>
        </w:tc>
      </w:tr>
      <w:tr w:rsidR="00476733" w:rsidRPr="003807B8" w:rsidTr="00C455B6">
        <w:tc>
          <w:tcPr>
            <w:tcW w:w="2354" w:type="dxa"/>
            <w:shd w:val="clear" w:color="auto" w:fill="auto"/>
          </w:tcPr>
          <w:p w:rsidR="00476733" w:rsidRPr="000E5801" w:rsidRDefault="00476733" w:rsidP="00C455B6">
            <w:pPr>
              <w:tabs>
                <w:tab w:val="left" w:pos="720"/>
                <w:tab w:val="left" w:pos="1440"/>
              </w:tabs>
              <w:jc w:val="left"/>
              <w:rPr>
                <w:sz w:val="20"/>
              </w:rPr>
            </w:pPr>
            <w:r w:rsidRPr="000E5801">
              <w:rPr>
                <w:sz w:val="20"/>
              </w:rPr>
              <w:t>Capital Income</w:t>
            </w:r>
          </w:p>
        </w:tc>
        <w:tc>
          <w:tcPr>
            <w:tcW w:w="1354" w:type="dxa"/>
            <w:shd w:val="clear" w:color="auto" w:fill="auto"/>
          </w:tcPr>
          <w:p w:rsidR="00476733" w:rsidRPr="00901117" w:rsidRDefault="00476733" w:rsidP="00C455B6">
            <w:pPr>
              <w:tabs>
                <w:tab w:val="left" w:pos="720"/>
                <w:tab w:val="left" w:pos="1440"/>
              </w:tabs>
              <w:jc w:val="center"/>
              <w:rPr>
                <w:sz w:val="20"/>
                <w:highlight w:val="yellow"/>
              </w:rPr>
            </w:pPr>
            <w:r w:rsidRPr="000E5801">
              <w:rPr>
                <w:sz w:val="20"/>
              </w:rPr>
              <w:t>$</w:t>
            </w:r>
            <w:r>
              <w:rPr>
                <w:sz w:val="20"/>
              </w:rPr>
              <w:t>7.22</w:t>
            </w:r>
            <w:r w:rsidRPr="000E5801">
              <w:rPr>
                <w:sz w:val="20"/>
              </w:rPr>
              <w:t>m</w:t>
            </w:r>
          </w:p>
        </w:tc>
        <w:tc>
          <w:tcPr>
            <w:tcW w:w="1530" w:type="dxa"/>
            <w:shd w:val="clear" w:color="auto" w:fill="auto"/>
          </w:tcPr>
          <w:p w:rsidR="00476733" w:rsidRPr="00901117" w:rsidRDefault="00476733" w:rsidP="00C455B6">
            <w:pPr>
              <w:tabs>
                <w:tab w:val="left" w:pos="720"/>
                <w:tab w:val="left" w:pos="1440"/>
              </w:tabs>
              <w:jc w:val="center"/>
              <w:rPr>
                <w:sz w:val="20"/>
                <w:highlight w:val="yellow"/>
              </w:rPr>
            </w:pPr>
            <w:r w:rsidRPr="00D4181B">
              <w:rPr>
                <w:sz w:val="20"/>
              </w:rPr>
              <w:t>$34.9</w:t>
            </w:r>
            <w:r>
              <w:rPr>
                <w:sz w:val="20"/>
              </w:rPr>
              <w:t>8</w:t>
            </w:r>
            <w:r w:rsidRPr="00D4181B">
              <w:rPr>
                <w:sz w:val="20"/>
              </w:rPr>
              <w:t>m</w:t>
            </w:r>
          </w:p>
        </w:tc>
        <w:tc>
          <w:tcPr>
            <w:tcW w:w="2564" w:type="dxa"/>
            <w:shd w:val="clear" w:color="auto" w:fill="auto"/>
          </w:tcPr>
          <w:p w:rsidR="00476733" w:rsidRPr="00901117" w:rsidRDefault="00476733" w:rsidP="00C455B6">
            <w:pPr>
              <w:tabs>
                <w:tab w:val="left" w:pos="720"/>
                <w:tab w:val="left" w:pos="1440"/>
              </w:tabs>
              <w:jc w:val="left"/>
              <w:rPr>
                <w:sz w:val="20"/>
                <w:highlight w:val="yellow"/>
              </w:rPr>
            </w:pPr>
            <w:r w:rsidRPr="003F5A13">
              <w:rPr>
                <w:sz w:val="20"/>
              </w:rPr>
              <w:t>Grants for ARC</w:t>
            </w:r>
            <w:r>
              <w:rPr>
                <w:sz w:val="20"/>
              </w:rPr>
              <w:t xml:space="preserve">, </w:t>
            </w:r>
            <w:proofErr w:type="spellStart"/>
            <w:r>
              <w:rPr>
                <w:sz w:val="20"/>
              </w:rPr>
              <w:t>Visko</w:t>
            </w:r>
            <w:proofErr w:type="spellEnd"/>
            <w:r>
              <w:rPr>
                <w:sz w:val="20"/>
              </w:rPr>
              <w:t xml:space="preserve">, Roads, </w:t>
            </w:r>
            <w:proofErr w:type="spellStart"/>
            <w:r>
              <w:rPr>
                <w:sz w:val="20"/>
              </w:rPr>
              <w:t>DCP</w:t>
            </w:r>
            <w:proofErr w:type="spellEnd"/>
            <w:r>
              <w:rPr>
                <w:sz w:val="20"/>
              </w:rPr>
              <w:t xml:space="preserve"> contributions</w:t>
            </w:r>
          </w:p>
        </w:tc>
      </w:tr>
      <w:tr w:rsidR="00476733" w:rsidRPr="003807B8" w:rsidTr="00C455B6">
        <w:tc>
          <w:tcPr>
            <w:tcW w:w="2354" w:type="dxa"/>
            <w:shd w:val="clear" w:color="auto" w:fill="auto"/>
          </w:tcPr>
          <w:p w:rsidR="00476733" w:rsidRPr="000E5801" w:rsidRDefault="00476733" w:rsidP="00C455B6">
            <w:pPr>
              <w:tabs>
                <w:tab w:val="left" w:pos="720"/>
                <w:tab w:val="left" w:pos="1440"/>
              </w:tabs>
              <w:jc w:val="left"/>
              <w:rPr>
                <w:sz w:val="20"/>
              </w:rPr>
            </w:pPr>
            <w:r w:rsidRPr="000E5801">
              <w:rPr>
                <w:sz w:val="20"/>
              </w:rPr>
              <w:t>Capital Expenditure</w:t>
            </w:r>
          </w:p>
        </w:tc>
        <w:tc>
          <w:tcPr>
            <w:tcW w:w="1354" w:type="dxa"/>
            <w:shd w:val="clear" w:color="auto" w:fill="auto"/>
          </w:tcPr>
          <w:p w:rsidR="00476733" w:rsidRPr="00901117" w:rsidRDefault="00476733" w:rsidP="00C455B6">
            <w:pPr>
              <w:tabs>
                <w:tab w:val="left" w:pos="720"/>
                <w:tab w:val="left" w:pos="1440"/>
              </w:tabs>
              <w:jc w:val="center"/>
              <w:rPr>
                <w:sz w:val="20"/>
                <w:highlight w:val="yellow"/>
              </w:rPr>
            </w:pPr>
            <w:r w:rsidRPr="000E5801">
              <w:rPr>
                <w:sz w:val="20"/>
              </w:rPr>
              <w:t>$</w:t>
            </w:r>
            <w:r>
              <w:rPr>
                <w:sz w:val="20"/>
              </w:rPr>
              <w:t>66.36</w:t>
            </w:r>
            <w:r w:rsidRPr="000E5801">
              <w:rPr>
                <w:sz w:val="20"/>
              </w:rPr>
              <w:t>m</w:t>
            </w:r>
          </w:p>
        </w:tc>
        <w:tc>
          <w:tcPr>
            <w:tcW w:w="1530" w:type="dxa"/>
            <w:shd w:val="clear" w:color="auto" w:fill="auto"/>
          </w:tcPr>
          <w:p w:rsidR="00476733" w:rsidRPr="00901117" w:rsidRDefault="00476733" w:rsidP="00C455B6">
            <w:pPr>
              <w:tabs>
                <w:tab w:val="left" w:pos="720"/>
                <w:tab w:val="left" w:pos="1440"/>
              </w:tabs>
              <w:jc w:val="center"/>
              <w:rPr>
                <w:sz w:val="20"/>
                <w:highlight w:val="yellow"/>
              </w:rPr>
            </w:pPr>
            <w:r w:rsidRPr="00D4181B">
              <w:rPr>
                <w:sz w:val="20"/>
              </w:rPr>
              <w:t>$84.82m</w:t>
            </w:r>
          </w:p>
        </w:tc>
        <w:tc>
          <w:tcPr>
            <w:tcW w:w="2564" w:type="dxa"/>
            <w:shd w:val="clear" w:color="auto" w:fill="auto"/>
          </w:tcPr>
          <w:p w:rsidR="00476733" w:rsidRPr="003F5A13" w:rsidRDefault="00476733" w:rsidP="00C455B6">
            <w:pPr>
              <w:tabs>
                <w:tab w:val="left" w:pos="720"/>
                <w:tab w:val="left" w:pos="1440"/>
              </w:tabs>
              <w:jc w:val="left"/>
              <w:rPr>
                <w:sz w:val="20"/>
              </w:rPr>
            </w:pPr>
            <w:r w:rsidRPr="003F5A13">
              <w:rPr>
                <w:sz w:val="20"/>
              </w:rPr>
              <w:t>Final capex  on ARC &amp; revitalisation strategies</w:t>
            </w:r>
          </w:p>
        </w:tc>
      </w:tr>
    </w:tbl>
    <w:p w:rsidR="00476733" w:rsidRDefault="00476733" w:rsidP="00C455B6">
      <w:pPr>
        <w:tabs>
          <w:tab w:val="left" w:pos="720"/>
          <w:tab w:val="left" w:pos="1440"/>
        </w:tabs>
        <w:ind w:left="1440"/>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Asset Management Plan</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 xml:space="preserve">Council adopted Asset Management Plans for six areas of Council’s assets, namely Roads, Building, Drains, Parks, Footpaths and Fleet. Each Plan forecasts expenditure to be spent on maintaining/renewing council assets in the above categories with a planned amount to be spent as per the criteria. The 2016/17 draft budget meets the expenditure requirements outlined in the asset management plans apart from roads AMP. The Roads AMP is being reviewed as to depreciation rates and their impact on future expenditure requirements. A further two plans are to be prepared to cover the Cockburn ARC </w:t>
      </w:r>
      <w:r>
        <w:lastRenderedPageBreak/>
        <w:t>facility and the Port Coogee Marina and associated infrastructure assets surrounding the marina.</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For definitional purposes renewing of assets is specifically the subject of the Asset Management Plans whereas upgrading is a mixture of renewing the asset but has been coupled with additional improvements.</w:t>
      </w:r>
    </w:p>
    <w:p w:rsidR="00476733" w:rsidRDefault="00476733" w:rsidP="00C455B6">
      <w:pPr>
        <w:tabs>
          <w:tab w:val="left" w:pos="720"/>
          <w:tab w:val="left" w:pos="1440"/>
        </w:tabs>
        <w:ind w:left="1440"/>
      </w:pPr>
    </w:p>
    <w:p w:rsidR="00476733" w:rsidRPr="00F45B45" w:rsidRDefault="00476733" w:rsidP="00C455B6">
      <w:pPr>
        <w:tabs>
          <w:tab w:val="left" w:pos="720"/>
          <w:tab w:val="left" w:pos="1440"/>
        </w:tabs>
        <w:ind w:left="1440"/>
      </w:pPr>
      <w:r w:rsidRPr="00F45B45">
        <w:t>The intention is to provide this every year and to reclassify the status of “Upgrade” into New and Renew to clarify how much is being allocated to meeting the Asset Management Plans</w:t>
      </w:r>
      <w:r>
        <w:t>.</w:t>
      </w:r>
    </w:p>
    <w:p w:rsidR="00476733" w:rsidRDefault="00476733" w:rsidP="00C455B6">
      <w:pPr>
        <w:tabs>
          <w:tab w:val="left" w:pos="720"/>
          <w:tab w:val="left" w:pos="1440"/>
        </w:tabs>
        <w:ind w:left="1440"/>
        <w:rPr>
          <w:rFonts w:ascii="Bookman Old Style" w:hAnsi="Bookman Old Style"/>
          <w:i/>
        </w:rPr>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Workforce Plan</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Council adopted the Workforce Plan in June 2016. The 2016/17 budget reflects new appointments as outlined in the Plan.</w:t>
      </w:r>
    </w:p>
    <w:p w:rsidR="00476733" w:rsidRPr="004E6AE6" w:rsidRDefault="00476733" w:rsidP="00C455B6">
      <w:pPr>
        <w:tabs>
          <w:tab w:val="left" w:pos="720"/>
          <w:tab w:val="left" w:pos="1440"/>
        </w:tabs>
        <w:ind w:left="1440"/>
        <w:rPr>
          <w:lang w:val="en-US"/>
        </w:rPr>
      </w:pPr>
    </w:p>
    <w:p w:rsidR="00476733" w:rsidRPr="00235906" w:rsidRDefault="00476733" w:rsidP="00C455B6">
      <w:pPr>
        <w:tabs>
          <w:tab w:val="left" w:pos="720"/>
          <w:tab w:val="left" w:pos="1440"/>
        </w:tabs>
        <w:ind w:left="1440"/>
        <w:rPr>
          <w:rFonts w:ascii="Bookman Old Style" w:hAnsi="Bookman Old Style"/>
          <w:i/>
        </w:rPr>
      </w:pPr>
      <w:r w:rsidRPr="00235906">
        <w:rPr>
          <w:rFonts w:ascii="Bookman Old Style" w:hAnsi="Bookman Old Style"/>
          <w:i/>
        </w:rPr>
        <w:t>Closing Municipal Position</w:t>
      </w:r>
    </w:p>
    <w:p w:rsidR="00476733" w:rsidRDefault="00476733" w:rsidP="00C455B6">
      <w:pPr>
        <w:ind w:left="1440"/>
      </w:pPr>
    </w:p>
    <w:p w:rsidR="00476733" w:rsidRDefault="00476733" w:rsidP="00C455B6">
      <w:pPr>
        <w:tabs>
          <w:tab w:val="left" w:pos="720"/>
          <w:tab w:val="left" w:pos="1440"/>
        </w:tabs>
        <w:ind w:left="1440"/>
      </w:pPr>
      <w:r>
        <w:t xml:space="preserve">The 2016/17 Municipal Budget closing position is $299,049. This is after all operating and capital income and expenditure items plus reserve transfers are brought to account. </w:t>
      </w:r>
    </w:p>
    <w:p w:rsidR="00476733" w:rsidRDefault="00476733" w:rsidP="00C455B6">
      <w:pPr>
        <w:tabs>
          <w:tab w:val="left" w:pos="720"/>
          <w:tab w:val="left" w:pos="1440"/>
        </w:tabs>
        <w:ind w:left="1440"/>
      </w:pPr>
    </w:p>
    <w:p w:rsidR="00476733" w:rsidRPr="00F018C5" w:rsidRDefault="00476733" w:rsidP="00C455B6">
      <w:pPr>
        <w:tabs>
          <w:tab w:val="left" w:pos="720"/>
          <w:tab w:val="left" w:pos="1440"/>
        </w:tabs>
        <w:ind w:left="1440"/>
        <w:rPr>
          <w:rFonts w:ascii="Bookman Old Style" w:hAnsi="Bookman Old Style"/>
          <w:i/>
        </w:rPr>
      </w:pPr>
      <w:r w:rsidRPr="00F018C5">
        <w:rPr>
          <w:rFonts w:ascii="Bookman Old Style" w:hAnsi="Bookman Old Style"/>
          <w:i/>
        </w:rPr>
        <w:t>Opening Municipal Position</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A report will be brought to Council in October 2016 once the Auditors have completed their annual examination of the financial statements to confirm the closing municipal fund position for 2015/16. In the interim, an estimate of $10.5m has been used for the 2016/17 opening position comprising $7.5m of municipal funding for carried forward projects and $3.0m of budget savings from 2015/16 which is allocated to reserves.</w:t>
      </w:r>
    </w:p>
    <w:p w:rsidR="00476733" w:rsidRDefault="00476733" w:rsidP="00C455B6">
      <w:pPr>
        <w:tabs>
          <w:tab w:val="left" w:pos="720"/>
          <w:tab w:val="left" w:pos="1440"/>
        </w:tabs>
        <w:ind w:left="1440"/>
      </w:pPr>
    </w:p>
    <w:p w:rsidR="00476733" w:rsidRPr="00360F45" w:rsidRDefault="00476733" w:rsidP="00C455B6">
      <w:pPr>
        <w:tabs>
          <w:tab w:val="left" w:pos="720"/>
          <w:tab w:val="left" w:pos="1440"/>
        </w:tabs>
        <w:ind w:left="1440"/>
        <w:rPr>
          <w:rFonts w:ascii="Bookman Old Style" w:hAnsi="Bookman Old Style"/>
          <w:i/>
        </w:rPr>
      </w:pPr>
      <w:r w:rsidRPr="00360F45">
        <w:rPr>
          <w:rFonts w:ascii="Bookman Old Style" w:hAnsi="Bookman Old Style"/>
          <w:i/>
        </w:rPr>
        <w:t>Change to the</w:t>
      </w:r>
      <w:r>
        <w:rPr>
          <w:rFonts w:ascii="Bookman Old Style" w:hAnsi="Bookman Old Style"/>
          <w:i/>
        </w:rPr>
        <w:t xml:space="preserve"> advertised Differential Rates</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There are no changes being proposed to the advertised differential rates. The Council will continue the Residential Improved concession introduced in 2015/16.</w:t>
      </w:r>
    </w:p>
    <w:p w:rsidR="00476733" w:rsidRDefault="00476733" w:rsidP="00C455B6">
      <w:pPr>
        <w:tabs>
          <w:tab w:val="left" w:pos="720"/>
          <w:tab w:val="left" w:pos="1440"/>
        </w:tabs>
        <w:ind w:left="1440"/>
      </w:pPr>
    </w:p>
    <w:p w:rsidR="00476733" w:rsidRPr="00360F32" w:rsidRDefault="00476733" w:rsidP="00C455B6">
      <w:pPr>
        <w:tabs>
          <w:tab w:val="left" w:pos="720"/>
          <w:tab w:val="left" w:pos="1440"/>
        </w:tabs>
        <w:ind w:left="1440"/>
        <w:rPr>
          <w:rFonts w:ascii="Bookman Old Style" w:hAnsi="Bookman Old Style"/>
          <w:i/>
          <w:sz w:val="20"/>
        </w:rPr>
      </w:pPr>
      <w:r w:rsidRPr="00360F32">
        <w:rPr>
          <w:rFonts w:ascii="Bookman Old Style" w:hAnsi="Bookman Old Style"/>
          <w:i/>
          <w:sz w:val="20"/>
        </w:rPr>
        <w:t>Table 1</w:t>
      </w:r>
      <w:r>
        <w:rPr>
          <w:rFonts w:ascii="Bookman Old Style" w:hAnsi="Bookman Old Style"/>
          <w:i/>
          <w:sz w:val="20"/>
        </w:rPr>
        <w:t>4</w:t>
      </w:r>
      <w:r w:rsidRPr="00360F32">
        <w:rPr>
          <w:rFonts w:ascii="Bookman Old Style" w:hAnsi="Bookman Old Style"/>
          <w:i/>
          <w:sz w:val="20"/>
        </w:rPr>
        <w:t xml:space="preserve"> – Differential </w:t>
      </w:r>
      <w:proofErr w:type="gramStart"/>
      <w:r w:rsidRPr="00360F32">
        <w:rPr>
          <w:rFonts w:ascii="Bookman Old Style" w:hAnsi="Bookman Old Style"/>
          <w:i/>
          <w:sz w:val="20"/>
        </w:rPr>
        <w:t>rates,</w:t>
      </w:r>
      <w:proofErr w:type="gramEnd"/>
      <w:r w:rsidRPr="00360F32">
        <w:rPr>
          <w:rFonts w:ascii="Bookman Old Style" w:hAnsi="Bookman Old Style"/>
          <w:i/>
          <w:sz w:val="20"/>
        </w:rPr>
        <w:t xml:space="preserve"> advertised and recommended</w:t>
      </w:r>
    </w:p>
    <w:tbl>
      <w:tblPr>
        <w:tblW w:w="7650" w:type="dxa"/>
        <w:tblInd w:w="15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1083"/>
        <w:gridCol w:w="2697"/>
        <w:gridCol w:w="990"/>
        <w:gridCol w:w="900"/>
        <w:gridCol w:w="990"/>
        <w:gridCol w:w="990"/>
      </w:tblGrid>
      <w:tr w:rsidR="00476733" w:rsidRPr="00360F45" w:rsidTr="00C455B6">
        <w:trPr>
          <w:trHeight w:val="300"/>
        </w:trPr>
        <w:tc>
          <w:tcPr>
            <w:tcW w:w="1083" w:type="dxa"/>
            <w:vMerge w:val="restart"/>
            <w:tcBorders>
              <w:top w:val="double" w:sz="4" w:space="0" w:color="auto"/>
              <w:bottom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Category</w:t>
            </w:r>
          </w:p>
        </w:tc>
        <w:tc>
          <w:tcPr>
            <w:tcW w:w="2697" w:type="dxa"/>
            <w:vMerge w:val="restart"/>
            <w:tcBorders>
              <w:top w:val="double" w:sz="4" w:space="0" w:color="auto"/>
              <w:bottom w:val="double" w:sz="4" w:space="0" w:color="auto"/>
              <w:right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Rate Category</w:t>
            </w:r>
          </w:p>
        </w:tc>
        <w:tc>
          <w:tcPr>
            <w:tcW w:w="1890" w:type="dxa"/>
            <w:gridSpan w:val="2"/>
            <w:tcBorders>
              <w:top w:val="double" w:sz="4" w:space="0" w:color="auto"/>
              <w:left w:val="double" w:sz="4" w:space="0" w:color="auto"/>
              <w:bottom w:val="double" w:sz="4" w:space="0" w:color="auto"/>
              <w:right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Advertised</w:t>
            </w:r>
          </w:p>
        </w:tc>
        <w:tc>
          <w:tcPr>
            <w:tcW w:w="1980" w:type="dxa"/>
            <w:gridSpan w:val="2"/>
            <w:tcBorders>
              <w:top w:val="double" w:sz="4" w:space="0" w:color="auto"/>
              <w:left w:val="double" w:sz="4" w:space="0" w:color="auto"/>
              <w:bottom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Recommended</w:t>
            </w:r>
          </w:p>
        </w:tc>
      </w:tr>
      <w:tr w:rsidR="00476733" w:rsidRPr="00360F45" w:rsidTr="00C455B6">
        <w:trPr>
          <w:trHeight w:val="300"/>
        </w:trPr>
        <w:tc>
          <w:tcPr>
            <w:tcW w:w="1083" w:type="dxa"/>
            <w:vMerge/>
            <w:tcBorders>
              <w:top w:val="double" w:sz="4" w:space="0" w:color="auto"/>
              <w:bottom w:val="double" w:sz="4" w:space="0" w:color="auto"/>
            </w:tcBorders>
            <w:noWrap/>
            <w:tcMar>
              <w:top w:w="0" w:type="dxa"/>
              <w:left w:w="108" w:type="dxa"/>
              <w:bottom w:w="0" w:type="dxa"/>
              <w:right w:w="108" w:type="dxa"/>
            </w:tcMar>
            <w:vAlign w:val="bottom"/>
            <w:hideMark/>
          </w:tcPr>
          <w:p w:rsidR="00476733" w:rsidRPr="00360F45" w:rsidRDefault="00476733" w:rsidP="00C455B6">
            <w:pPr>
              <w:rPr>
                <w:rFonts w:eastAsia="Calibri" w:cs="Arial"/>
                <w:b/>
                <w:bCs/>
                <w:color w:val="000000"/>
                <w:sz w:val="20"/>
                <w:lang w:eastAsia="en-AU"/>
              </w:rPr>
            </w:pPr>
          </w:p>
        </w:tc>
        <w:tc>
          <w:tcPr>
            <w:tcW w:w="2697" w:type="dxa"/>
            <w:vMerge/>
            <w:tcBorders>
              <w:top w:val="double" w:sz="4" w:space="0" w:color="auto"/>
              <w:bottom w:val="double" w:sz="4" w:space="0" w:color="auto"/>
              <w:right w:val="double" w:sz="4" w:space="0" w:color="auto"/>
            </w:tcBorders>
            <w:noWrap/>
            <w:tcMar>
              <w:top w:w="0" w:type="dxa"/>
              <w:left w:w="108" w:type="dxa"/>
              <w:bottom w:w="0" w:type="dxa"/>
              <w:right w:w="108" w:type="dxa"/>
            </w:tcMar>
            <w:vAlign w:val="bottom"/>
            <w:hideMark/>
          </w:tcPr>
          <w:p w:rsidR="00476733" w:rsidRPr="00360F45" w:rsidRDefault="00476733" w:rsidP="00C455B6">
            <w:pPr>
              <w:rPr>
                <w:rFonts w:eastAsia="Calibri" w:cs="Arial"/>
                <w:b/>
                <w:bCs/>
                <w:color w:val="000000"/>
                <w:sz w:val="20"/>
                <w:lang w:eastAsia="en-AU"/>
              </w:rPr>
            </w:pPr>
          </w:p>
        </w:tc>
        <w:tc>
          <w:tcPr>
            <w:tcW w:w="990" w:type="dxa"/>
            <w:tcBorders>
              <w:top w:val="double" w:sz="4" w:space="0" w:color="auto"/>
              <w:left w:val="double" w:sz="4" w:space="0" w:color="auto"/>
              <w:bottom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Rate in $</w:t>
            </w:r>
          </w:p>
        </w:tc>
        <w:tc>
          <w:tcPr>
            <w:tcW w:w="900" w:type="dxa"/>
            <w:tcBorders>
              <w:top w:val="double" w:sz="4" w:space="0" w:color="auto"/>
              <w:bottom w:val="double" w:sz="4" w:space="0" w:color="auto"/>
              <w:right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Min Rate</w:t>
            </w:r>
          </w:p>
        </w:tc>
        <w:tc>
          <w:tcPr>
            <w:tcW w:w="990" w:type="dxa"/>
            <w:tcBorders>
              <w:top w:val="double" w:sz="4" w:space="0" w:color="auto"/>
              <w:left w:val="double" w:sz="4" w:space="0" w:color="auto"/>
              <w:bottom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Rate in $</w:t>
            </w:r>
          </w:p>
        </w:tc>
        <w:tc>
          <w:tcPr>
            <w:tcW w:w="990" w:type="dxa"/>
            <w:tcBorders>
              <w:top w:val="double" w:sz="4" w:space="0" w:color="auto"/>
              <w:bottom w:val="double" w:sz="4" w:space="0" w:color="auto"/>
            </w:tcBorders>
            <w:noWrap/>
            <w:tcMar>
              <w:top w:w="0" w:type="dxa"/>
              <w:left w:w="108" w:type="dxa"/>
              <w:bottom w:w="0" w:type="dxa"/>
              <w:right w:w="108" w:type="dxa"/>
            </w:tcMar>
            <w:vAlign w:val="center"/>
            <w:hideMark/>
          </w:tcPr>
          <w:p w:rsidR="00476733" w:rsidRPr="00360F45" w:rsidRDefault="00476733" w:rsidP="00C455B6">
            <w:pPr>
              <w:jc w:val="center"/>
              <w:rPr>
                <w:rFonts w:eastAsia="Calibri" w:cs="Arial"/>
                <w:b/>
                <w:bCs/>
                <w:color w:val="000000"/>
                <w:sz w:val="20"/>
                <w:lang w:eastAsia="en-AU"/>
              </w:rPr>
            </w:pPr>
            <w:r w:rsidRPr="00360F45">
              <w:rPr>
                <w:rFonts w:cs="Arial"/>
                <w:b/>
                <w:bCs/>
                <w:color w:val="000000"/>
                <w:sz w:val="20"/>
                <w:lang w:eastAsia="en-AU"/>
              </w:rPr>
              <w:t>Min Rate</w:t>
            </w:r>
          </w:p>
        </w:tc>
      </w:tr>
      <w:tr w:rsidR="00476733" w:rsidRPr="00360F45" w:rsidTr="00C455B6">
        <w:trPr>
          <w:trHeight w:val="300"/>
        </w:trPr>
        <w:tc>
          <w:tcPr>
            <w:tcW w:w="1083" w:type="dxa"/>
            <w:tcBorders>
              <w:top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top w:val="double" w:sz="4" w:space="0" w:color="auto"/>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Residential Improved</w:t>
            </w:r>
          </w:p>
        </w:tc>
        <w:tc>
          <w:tcPr>
            <w:tcW w:w="990" w:type="dxa"/>
            <w:tcBorders>
              <w:top w:val="double" w:sz="4" w:space="0" w:color="auto"/>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7.286</w:t>
            </w:r>
            <w:r w:rsidRPr="00360F45">
              <w:rPr>
                <w:rFonts w:cs="Arial"/>
                <w:color w:val="000000"/>
                <w:sz w:val="20"/>
                <w:lang w:eastAsia="en-AU"/>
              </w:rPr>
              <w:t>c</w:t>
            </w:r>
          </w:p>
        </w:tc>
        <w:tc>
          <w:tcPr>
            <w:tcW w:w="900" w:type="dxa"/>
            <w:tcBorders>
              <w:top w:val="double" w:sz="4" w:space="0" w:color="auto"/>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$1,287</w:t>
            </w:r>
          </w:p>
        </w:tc>
        <w:tc>
          <w:tcPr>
            <w:tcW w:w="990" w:type="dxa"/>
            <w:tcBorders>
              <w:top w:val="double" w:sz="4" w:space="0" w:color="auto"/>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7.286</w:t>
            </w:r>
            <w:r w:rsidRPr="00360F45">
              <w:rPr>
                <w:rFonts w:cs="Arial"/>
                <w:color w:val="000000"/>
                <w:sz w:val="20"/>
                <w:lang w:eastAsia="en-AU"/>
              </w:rPr>
              <w:t>c</w:t>
            </w:r>
          </w:p>
        </w:tc>
        <w:tc>
          <w:tcPr>
            <w:tcW w:w="990" w:type="dxa"/>
            <w:tcBorders>
              <w:top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$1,287</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Residential Vacant Land</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9.391</w:t>
            </w:r>
            <w:r w:rsidRPr="00360F45">
              <w:rPr>
                <w:rFonts w:cs="Arial"/>
                <w:color w:val="000000"/>
                <w:sz w:val="20"/>
                <w:lang w:eastAsia="en-AU"/>
              </w:rPr>
              <w:t>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9.391</w:t>
            </w:r>
            <w:r w:rsidRPr="00360F45">
              <w:rPr>
                <w:rFonts w:cs="Arial"/>
                <w:color w:val="000000"/>
                <w:sz w:val="20"/>
                <w:lang w:eastAsia="en-AU"/>
              </w:rPr>
              <w:t>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Commercial &amp; Industrial Improved</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7.550</w:t>
            </w:r>
            <w:r w:rsidRPr="00360F45">
              <w:rPr>
                <w:rFonts w:cs="Arial"/>
                <w:color w:val="000000"/>
                <w:sz w:val="20"/>
                <w:lang w:eastAsia="en-AU"/>
              </w:rPr>
              <w:t>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7.550</w:t>
            </w:r>
            <w:r w:rsidRPr="00360F45">
              <w:rPr>
                <w:rFonts w:cs="Arial"/>
                <w:color w:val="000000"/>
                <w:sz w:val="20"/>
                <w:lang w:eastAsia="en-AU"/>
              </w:rPr>
              <w:t>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Commercial &amp; Industrial Vacant Land</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9.391</w:t>
            </w:r>
            <w:r w:rsidRPr="00360F45">
              <w:rPr>
                <w:rFonts w:cs="Arial"/>
                <w:color w:val="000000"/>
                <w:sz w:val="20"/>
                <w:lang w:eastAsia="en-AU"/>
              </w:rPr>
              <w:t>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9.391</w:t>
            </w:r>
            <w:r w:rsidRPr="00360F45">
              <w:rPr>
                <w:rFonts w:cs="Arial"/>
                <w:color w:val="000000"/>
                <w:sz w:val="20"/>
                <w:lang w:eastAsia="en-AU"/>
              </w:rPr>
              <w:t>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Large Commercial &amp; Industrial Improved</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8.058c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8.058c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lastRenderedPageBreak/>
              <w:t>UV</w:t>
            </w:r>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Rural General Improved</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0.253</w:t>
            </w:r>
            <w:r w:rsidRPr="00360F45">
              <w:rPr>
                <w:rFonts w:cs="Arial"/>
                <w:color w:val="000000"/>
                <w:sz w:val="20"/>
                <w:lang w:eastAsia="en-AU"/>
              </w:rPr>
              <w:t>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$90</w:t>
            </w:r>
            <w:r w:rsidRPr="00360F45">
              <w:rPr>
                <w:rFonts w:cs="Arial"/>
                <w:color w:val="000000"/>
                <w:sz w:val="20"/>
                <w:lang w:eastAsia="en-AU"/>
              </w:rPr>
              <w:t>6</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0.253</w:t>
            </w:r>
            <w:r w:rsidRPr="00360F45">
              <w:rPr>
                <w:rFonts w:cs="Arial"/>
                <w:color w:val="000000"/>
                <w:sz w:val="20"/>
                <w:lang w:eastAsia="en-AU"/>
              </w:rPr>
              <w:t>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w:t>
            </w:r>
            <w:r>
              <w:rPr>
                <w:rFonts w:cs="Arial"/>
                <w:color w:val="000000"/>
                <w:sz w:val="20"/>
                <w:lang w:eastAsia="en-AU"/>
              </w:rPr>
              <w:t>906</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UV</w:t>
            </w:r>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Rural Vacant Land</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0.391</w:t>
            </w:r>
            <w:r w:rsidRPr="00360F45">
              <w:rPr>
                <w:rFonts w:cs="Arial"/>
                <w:color w:val="000000"/>
                <w:sz w:val="20"/>
                <w:lang w:eastAsia="en-AU"/>
              </w:rPr>
              <w:t>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$90</w:t>
            </w:r>
            <w:r w:rsidRPr="00360F45">
              <w:rPr>
                <w:rFonts w:cs="Arial"/>
                <w:color w:val="000000"/>
                <w:sz w:val="20"/>
                <w:lang w:eastAsia="en-AU"/>
              </w:rPr>
              <w:t>6</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0.391</w:t>
            </w:r>
            <w:r w:rsidRPr="00360F45">
              <w:rPr>
                <w:rFonts w:cs="Arial"/>
                <w:color w:val="000000"/>
                <w:sz w:val="20"/>
                <w:lang w:eastAsia="en-AU"/>
              </w:rPr>
              <w:t>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w:t>
            </w:r>
            <w:r>
              <w:rPr>
                <w:rFonts w:cs="Arial"/>
                <w:color w:val="000000"/>
                <w:sz w:val="20"/>
                <w:lang w:eastAsia="en-AU"/>
              </w:rPr>
              <w:t>906</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Commercial Caravan Park</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rPr>
                <w:rFonts w:eastAsia="Calibri" w:cs="Arial"/>
                <w:color w:val="000000"/>
                <w:sz w:val="20"/>
                <w:lang w:eastAsia="en-AU"/>
              </w:rPr>
            </w:pPr>
            <w:r>
              <w:rPr>
                <w:rFonts w:cs="Arial"/>
                <w:color w:val="000000"/>
                <w:sz w:val="20"/>
                <w:lang w:eastAsia="en-AU"/>
              </w:rPr>
              <w:t>9.500</w:t>
            </w:r>
            <w:r w:rsidRPr="00360F45">
              <w:rPr>
                <w:rFonts w:cs="Arial"/>
                <w:color w:val="000000"/>
                <w:sz w:val="20"/>
                <w:lang w:eastAsia="en-AU"/>
              </w:rPr>
              <w:t>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9.500</w:t>
            </w:r>
            <w:r w:rsidRPr="00360F45">
              <w:rPr>
                <w:rFonts w:cs="Arial"/>
                <w:color w:val="000000"/>
                <w:sz w:val="20"/>
                <w:lang w:eastAsia="en-AU"/>
              </w:rPr>
              <w:t>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$744</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Specified Area Rate - Port Coogee</w:t>
            </w:r>
            <w:r>
              <w:rPr>
                <w:rFonts w:cs="Arial"/>
                <w:color w:val="000000"/>
                <w:sz w:val="20"/>
                <w:lang w:eastAsia="en-AU"/>
              </w:rPr>
              <w:t xml:space="preserve"> Special Maintenance</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1.2</w:t>
            </w:r>
            <w:r w:rsidRPr="00360F45">
              <w:rPr>
                <w:rFonts w:cs="Arial"/>
                <w:color w:val="000000"/>
                <w:sz w:val="20"/>
                <w:lang w:eastAsia="en-AU"/>
              </w:rPr>
              <w:t>00c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N/A</w:t>
            </w:r>
          </w:p>
        </w:tc>
        <w:tc>
          <w:tcPr>
            <w:tcW w:w="990" w:type="dxa"/>
            <w:tcBorders>
              <w:lef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1.2</w:t>
            </w:r>
            <w:r w:rsidRPr="00360F45">
              <w:rPr>
                <w:rFonts w:cs="Arial"/>
                <w:color w:val="000000"/>
                <w:sz w:val="20"/>
                <w:lang w:eastAsia="en-AU"/>
              </w:rPr>
              <w:t>00c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N/A</w:t>
            </w:r>
          </w:p>
        </w:tc>
      </w:tr>
      <w:tr w:rsidR="00476733" w:rsidRPr="00360F45" w:rsidTr="00C455B6">
        <w:trPr>
          <w:trHeight w:val="300"/>
        </w:trPr>
        <w:tc>
          <w:tcPr>
            <w:tcW w:w="1083" w:type="dxa"/>
            <w:noWrap/>
            <w:tcMar>
              <w:top w:w="0" w:type="dxa"/>
              <w:left w:w="108" w:type="dxa"/>
              <w:bottom w:w="0" w:type="dxa"/>
              <w:right w:w="108" w:type="dxa"/>
            </w:tcMar>
            <w:vAlign w:val="bottom"/>
          </w:tcPr>
          <w:p w:rsidR="00476733" w:rsidRPr="00360F45" w:rsidRDefault="00476733" w:rsidP="00C455B6">
            <w:pPr>
              <w:jc w:val="center"/>
              <w:rPr>
                <w:rFonts w:cs="Arial"/>
                <w:color w:val="000000"/>
                <w:sz w:val="20"/>
                <w:lang w:eastAsia="en-AU"/>
              </w:rPr>
            </w:pPr>
            <w:proofErr w:type="spellStart"/>
            <w:r>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tcPr>
          <w:p w:rsidR="00476733" w:rsidRPr="00360F45" w:rsidRDefault="00476733" w:rsidP="00C455B6">
            <w:pPr>
              <w:jc w:val="left"/>
              <w:rPr>
                <w:rFonts w:cs="Arial"/>
                <w:color w:val="000000"/>
                <w:sz w:val="20"/>
                <w:lang w:eastAsia="en-AU"/>
              </w:rPr>
            </w:pPr>
            <w:r>
              <w:rPr>
                <w:rFonts w:cs="Arial"/>
                <w:color w:val="000000"/>
                <w:sz w:val="20"/>
                <w:lang w:eastAsia="en-AU"/>
              </w:rPr>
              <w:t>Specified Area Rate – Port Coogee Waterways</w:t>
            </w:r>
          </w:p>
        </w:tc>
        <w:tc>
          <w:tcPr>
            <w:tcW w:w="990" w:type="dxa"/>
            <w:tcBorders>
              <w:left w:val="double" w:sz="4" w:space="0" w:color="auto"/>
            </w:tcBorders>
            <w:noWrap/>
            <w:tcMar>
              <w:top w:w="0" w:type="dxa"/>
              <w:left w:w="108" w:type="dxa"/>
              <w:bottom w:w="0" w:type="dxa"/>
              <w:right w:w="108" w:type="dxa"/>
            </w:tcMar>
            <w:vAlign w:val="bottom"/>
          </w:tcPr>
          <w:p w:rsidR="00476733" w:rsidRDefault="00476733" w:rsidP="00C455B6">
            <w:pPr>
              <w:jc w:val="center"/>
              <w:rPr>
                <w:rFonts w:cs="Arial"/>
                <w:color w:val="000000"/>
                <w:sz w:val="20"/>
                <w:lang w:eastAsia="en-AU"/>
              </w:rPr>
            </w:pPr>
            <w:r>
              <w:rPr>
                <w:rFonts w:cs="Arial"/>
                <w:color w:val="000000"/>
                <w:sz w:val="20"/>
                <w:lang w:eastAsia="en-AU"/>
              </w:rPr>
              <w:t>1.200c</w:t>
            </w:r>
          </w:p>
        </w:tc>
        <w:tc>
          <w:tcPr>
            <w:tcW w:w="900" w:type="dxa"/>
            <w:tcBorders>
              <w:right w:val="double" w:sz="4" w:space="0" w:color="auto"/>
            </w:tcBorders>
            <w:noWrap/>
            <w:tcMar>
              <w:top w:w="0" w:type="dxa"/>
              <w:left w:w="108" w:type="dxa"/>
              <w:bottom w:w="0" w:type="dxa"/>
              <w:right w:w="108" w:type="dxa"/>
            </w:tcMar>
            <w:vAlign w:val="bottom"/>
          </w:tcPr>
          <w:p w:rsidR="00476733" w:rsidRPr="00360F45" w:rsidRDefault="00476733" w:rsidP="00C455B6">
            <w:pPr>
              <w:jc w:val="center"/>
              <w:rPr>
                <w:rFonts w:cs="Arial"/>
                <w:color w:val="000000"/>
                <w:sz w:val="20"/>
                <w:lang w:eastAsia="en-AU"/>
              </w:rPr>
            </w:pPr>
            <w:r>
              <w:rPr>
                <w:rFonts w:cs="Arial"/>
                <w:color w:val="000000"/>
                <w:sz w:val="20"/>
                <w:lang w:eastAsia="en-AU"/>
              </w:rPr>
              <w:t>N/A</w:t>
            </w:r>
          </w:p>
        </w:tc>
        <w:tc>
          <w:tcPr>
            <w:tcW w:w="990" w:type="dxa"/>
            <w:tcBorders>
              <w:left w:val="double" w:sz="4" w:space="0" w:color="auto"/>
            </w:tcBorders>
            <w:noWrap/>
            <w:tcMar>
              <w:top w:w="0" w:type="dxa"/>
              <w:left w:w="108" w:type="dxa"/>
              <w:bottom w:w="0" w:type="dxa"/>
              <w:right w:w="108" w:type="dxa"/>
            </w:tcMar>
            <w:vAlign w:val="bottom"/>
          </w:tcPr>
          <w:p w:rsidR="00476733" w:rsidRDefault="00476733" w:rsidP="00C455B6">
            <w:pPr>
              <w:jc w:val="center"/>
              <w:rPr>
                <w:rFonts w:cs="Arial"/>
                <w:color w:val="000000"/>
                <w:sz w:val="20"/>
                <w:lang w:eastAsia="en-AU"/>
              </w:rPr>
            </w:pPr>
            <w:r>
              <w:rPr>
                <w:rFonts w:cs="Arial"/>
                <w:color w:val="000000"/>
                <w:sz w:val="20"/>
                <w:lang w:eastAsia="en-AU"/>
              </w:rPr>
              <w:t>1.200c</w:t>
            </w:r>
          </w:p>
        </w:tc>
        <w:tc>
          <w:tcPr>
            <w:tcW w:w="990" w:type="dxa"/>
            <w:noWrap/>
            <w:tcMar>
              <w:top w:w="0" w:type="dxa"/>
              <w:left w:w="108" w:type="dxa"/>
              <w:bottom w:w="0" w:type="dxa"/>
              <w:right w:w="108" w:type="dxa"/>
            </w:tcMar>
            <w:vAlign w:val="bottom"/>
          </w:tcPr>
          <w:p w:rsidR="00476733" w:rsidRPr="00360F45" w:rsidRDefault="00476733" w:rsidP="00C455B6">
            <w:pPr>
              <w:jc w:val="center"/>
              <w:rPr>
                <w:rFonts w:cs="Arial"/>
                <w:color w:val="000000"/>
                <w:sz w:val="20"/>
                <w:lang w:eastAsia="en-AU"/>
              </w:rPr>
            </w:pPr>
            <w:r>
              <w:rPr>
                <w:rFonts w:cs="Arial"/>
                <w:color w:val="000000"/>
                <w:sz w:val="20"/>
                <w:lang w:eastAsia="en-AU"/>
              </w:rPr>
              <w:t>N/A</w:t>
            </w:r>
          </w:p>
        </w:tc>
      </w:tr>
      <w:tr w:rsidR="00476733" w:rsidRPr="00360F45" w:rsidTr="00C455B6">
        <w:trPr>
          <w:trHeight w:val="300"/>
        </w:trPr>
        <w:tc>
          <w:tcPr>
            <w:tcW w:w="1083"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proofErr w:type="spellStart"/>
            <w:r w:rsidRPr="00360F45">
              <w:rPr>
                <w:rFonts w:cs="Arial"/>
                <w:color w:val="000000"/>
                <w:sz w:val="20"/>
                <w:lang w:eastAsia="en-AU"/>
              </w:rPr>
              <w:t>GRV</w:t>
            </w:r>
            <w:proofErr w:type="spellEnd"/>
          </w:p>
        </w:tc>
        <w:tc>
          <w:tcPr>
            <w:tcW w:w="2697"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left"/>
              <w:rPr>
                <w:rFonts w:eastAsia="Calibri" w:cs="Arial"/>
                <w:color w:val="000000"/>
                <w:sz w:val="20"/>
                <w:lang w:eastAsia="en-AU"/>
              </w:rPr>
            </w:pPr>
            <w:r w:rsidRPr="00360F45">
              <w:rPr>
                <w:rFonts w:cs="Arial"/>
                <w:color w:val="000000"/>
                <w:sz w:val="20"/>
                <w:lang w:eastAsia="en-AU"/>
              </w:rPr>
              <w:t>Specified Area Rate - Cockburn Coast</w:t>
            </w:r>
          </w:p>
        </w:tc>
        <w:tc>
          <w:tcPr>
            <w:tcW w:w="990" w:type="dxa"/>
            <w:tcBorders>
              <w:left w:val="double" w:sz="4" w:space="0" w:color="auto"/>
              <w:bottom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1.2</w:t>
            </w:r>
            <w:r w:rsidRPr="00360F45">
              <w:rPr>
                <w:rFonts w:cs="Arial"/>
                <w:color w:val="000000"/>
                <w:sz w:val="20"/>
                <w:lang w:eastAsia="en-AU"/>
              </w:rPr>
              <w:t>00c</w:t>
            </w:r>
          </w:p>
        </w:tc>
        <w:tc>
          <w:tcPr>
            <w:tcW w:w="900" w:type="dxa"/>
            <w:tcBorders>
              <w:right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N/A</w:t>
            </w:r>
          </w:p>
        </w:tc>
        <w:tc>
          <w:tcPr>
            <w:tcW w:w="990" w:type="dxa"/>
            <w:tcBorders>
              <w:left w:val="double" w:sz="4" w:space="0" w:color="auto"/>
              <w:bottom w:val="double" w:sz="4" w:space="0" w:color="auto"/>
            </w:tcBorders>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Pr>
                <w:rFonts w:cs="Arial"/>
                <w:color w:val="000000"/>
                <w:sz w:val="20"/>
                <w:lang w:eastAsia="en-AU"/>
              </w:rPr>
              <w:t>1.2</w:t>
            </w:r>
            <w:r w:rsidRPr="00360F45">
              <w:rPr>
                <w:rFonts w:cs="Arial"/>
                <w:color w:val="000000"/>
                <w:sz w:val="20"/>
                <w:lang w:eastAsia="en-AU"/>
              </w:rPr>
              <w:t>00c</w:t>
            </w:r>
          </w:p>
        </w:tc>
        <w:tc>
          <w:tcPr>
            <w:tcW w:w="990" w:type="dxa"/>
            <w:noWrap/>
            <w:tcMar>
              <w:top w:w="0" w:type="dxa"/>
              <w:left w:w="108" w:type="dxa"/>
              <w:bottom w:w="0" w:type="dxa"/>
              <w:right w:w="108" w:type="dxa"/>
            </w:tcMar>
            <w:vAlign w:val="bottom"/>
            <w:hideMark/>
          </w:tcPr>
          <w:p w:rsidR="00476733" w:rsidRPr="00360F45" w:rsidRDefault="00476733" w:rsidP="00C455B6">
            <w:pPr>
              <w:jc w:val="center"/>
              <w:rPr>
                <w:rFonts w:eastAsia="Calibri" w:cs="Arial"/>
                <w:color w:val="000000"/>
                <w:sz w:val="20"/>
                <w:lang w:eastAsia="en-AU"/>
              </w:rPr>
            </w:pPr>
            <w:r w:rsidRPr="00360F45">
              <w:rPr>
                <w:rFonts w:cs="Arial"/>
                <w:color w:val="000000"/>
                <w:sz w:val="20"/>
                <w:lang w:eastAsia="en-AU"/>
              </w:rPr>
              <w:t>N/A</w:t>
            </w:r>
          </w:p>
        </w:tc>
      </w:tr>
    </w:tbl>
    <w:p w:rsidR="00476733" w:rsidRDefault="00476733" w:rsidP="00C455B6">
      <w:pPr>
        <w:tabs>
          <w:tab w:val="left" w:pos="720"/>
          <w:tab w:val="left" w:pos="1440"/>
        </w:tabs>
        <w:ind w:left="1440"/>
      </w:pPr>
    </w:p>
    <w:p w:rsidR="00476733" w:rsidRDefault="00476733">
      <w:pPr>
        <w:tabs>
          <w:tab w:val="left" w:pos="720"/>
          <w:tab w:val="left" w:pos="1440"/>
        </w:tabs>
        <w:ind w:left="1440"/>
      </w:pPr>
      <w:r>
        <w:rPr>
          <w:b/>
        </w:rPr>
        <w:t>Strategic Plan/Policy Implications</w:t>
      </w:r>
    </w:p>
    <w:p w:rsidR="00476733" w:rsidRDefault="00476733">
      <w:pPr>
        <w:tabs>
          <w:tab w:val="left" w:pos="720"/>
          <w:tab w:val="left" w:pos="1440"/>
        </w:tabs>
        <w:ind w:left="1440"/>
      </w:pPr>
    </w:p>
    <w:p w:rsidR="00476733" w:rsidRDefault="00476733" w:rsidP="00C455B6">
      <w:pPr>
        <w:ind w:left="1440"/>
      </w:pPr>
      <w:r>
        <w:rPr>
          <w:rFonts w:ascii="Bookman Old Style" w:hAnsi="Bookman Old Style"/>
          <w:i/>
        </w:rPr>
        <w:t>City Growth</w:t>
      </w:r>
      <w:r>
        <w:t xml:space="preserve"> - Plan for population growth of our City and maintaining our strong financial position </w:t>
      </w:r>
    </w:p>
    <w:p w:rsidR="00476733" w:rsidRDefault="00476733" w:rsidP="00C455B6">
      <w:pPr>
        <w:ind w:left="1440"/>
      </w:pPr>
    </w:p>
    <w:p w:rsidR="00476733" w:rsidRDefault="00476733" w:rsidP="00C455B6">
      <w:pPr>
        <w:ind w:left="1440"/>
      </w:pPr>
      <w:r>
        <w:rPr>
          <w:rFonts w:ascii="Bookman Old Style" w:hAnsi="Bookman Old Style"/>
          <w:i/>
        </w:rPr>
        <w:t>Moving Around</w:t>
      </w:r>
      <w:r>
        <w:t xml:space="preserve"> - Facilitate safe, efficient, connected and sustainable movement around the City</w:t>
      </w:r>
    </w:p>
    <w:p w:rsidR="00476733" w:rsidRDefault="00476733" w:rsidP="00C455B6">
      <w:pPr>
        <w:ind w:left="1440"/>
      </w:pPr>
    </w:p>
    <w:p w:rsidR="00476733" w:rsidRDefault="00476733" w:rsidP="00C455B6">
      <w:pPr>
        <w:ind w:left="1440"/>
      </w:pPr>
      <w:r>
        <w:rPr>
          <w:rFonts w:ascii="Bookman Old Style" w:hAnsi="Bookman Old Style"/>
          <w:i/>
        </w:rPr>
        <w:t>Community, Lifestyle and Security</w:t>
      </w:r>
      <w:r>
        <w:t xml:space="preserve"> - Provide safe, attractive, healthy programs and infrastructure for a diverse range of activity and people </w:t>
      </w:r>
    </w:p>
    <w:p w:rsidR="00476733" w:rsidRDefault="00476733" w:rsidP="00C455B6">
      <w:pPr>
        <w:ind w:left="1440"/>
      </w:pPr>
    </w:p>
    <w:p w:rsidR="00476733" w:rsidRDefault="00476733" w:rsidP="00C455B6">
      <w:pPr>
        <w:ind w:left="1440"/>
      </w:pPr>
      <w:r>
        <w:rPr>
          <w:rFonts w:ascii="Bookman Old Style" w:hAnsi="Bookman Old Style"/>
          <w:i/>
        </w:rPr>
        <w:t>Economic, Social and Environmental Responsibility</w:t>
      </w:r>
      <w:r>
        <w:t xml:space="preserve"> - Enable a sustainable future economically, socially and environmentally including business activity, job opportunities and sustainable use of resources</w:t>
      </w:r>
    </w:p>
    <w:p w:rsidR="00476733" w:rsidRDefault="00476733" w:rsidP="00C455B6">
      <w:pPr>
        <w:ind w:left="1440"/>
      </w:pPr>
    </w:p>
    <w:p w:rsidR="00476733" w:rsidRPr="00946BA6" w:rsidRDefault="00476733" w:rsidP="00C455B6">
      <w:pPr>
        <w:pStyle w:val="Pa0"/>
        <w:ind w:left="1440"/>
        <w:jc w:val="both"/>
        <w:rPr>
          <w:color w:val="221E1F"/>
        </w:rPr>
      </w:pPr>
      <w:r>
        <w:rPr>
          <w:rFonts w:ascii="Bookman Old Style" w:hAnsi="Bookman Old Style"/>
          <w:i/>
        </w:rPr>
        <w:t>Leading &amp; Listening</w:t>
      </w:r>
      <w:r>
        <w:t xml:space="preserve"> - Continue being accountable to our community and engaging with you through multiple effective communication channels.</w:t>
      </w:r>
    </w:p>
    <w:p w:rsidR="00476733" w:rsidRDefault="00476733">
      <w:pPr>
        <w:tabs>
          <w:tab w:val="left" w:pos="720"/>
          <w:tab w:val="left" w:pos="1440"/>
        </w:tabs>
        <w:ind w:left="1440"/>
        <w:rPr>
          <w:rFonts w:cs="Arial"/>
        </w:rPr>
      </w:pPr>
    </w:p>
    <w:p w:rsidR="00476733" w:rsidRDefault="00476733">
      <w:pPr>
        <w:tabs>
          <w:tab w:val="left" w:pos="720"/>
          <w:tab w:val="left" w:pos="1440"/>
        </w:tabs>
        <w:ind w:left="1440"/>
      </w:pPr>
      <w:r>
        <w:rPr>
          <w:b/>
        </w:rPr>
        <w:t>Budget/Financial Implications</w:t>
      </w:r>
    </w:p>
    <w:p w:rsidR="00476733" w:rsidRDefault="00476733">
      <w:pPr>
        <w:tabs>
          <w:tab w:val="left" w:pos="720"/>
          <w:tab w:val="left" w:pos="1440"/>
        </w:tabs>
        <w:ind w:left="1440"/>
      </w:pPr>
    </w:p>
    <w:p w:rsidR="00476733" w:rsidRPr="00C10773" w:rsidRDefault="00476733" w:rsidP="00C455B6">
      <w:pPr>
        <w:tabs>
          <w:tab w:val="left" w:pos="720"/>
          <w:tab w:val="left" w:pos="1440"/>
        </w:tabs>
        <w:ind w:left="1440"/>
      </w:pPr>
      <w:r w:rsidRPr="00C10773">
        <w:t>The Budget provides funds as outlined in the recommendations at the commencement of this report and the detailed attachments.</w:t>
      </w:r>
    </w:p>
    <w:p w:rsidR="00476733" w:rsidRDefault="00476733">
      <w:pPr>
        <w:tabs>
          <w:tab w:val="left" w:pos="720"/>
          <w:tab w:val="left" w:pos="1440"/>
        </w:tabs>
        <w:ind w:left="1440"/>
      </w:pPr>
    </w:p>
    <w:p w:rsidR="00476733" w:rsidRDefault="00476733">
      <w:pPr>
        <w:tabs>
          <w:tab w:val="left" w:pos="720"/>
          <w:tab w:val="left" w:pos="1440"/>
        </w:tabs>
        <w:ind w:left="1440"/>
        <w:rPr>
          <w:b/>
        </w:rPr>
      </w:pPr>
      <w:r>
        <w:rPr>
          <w:b/>
        </w:rPr>
        <w:t>Legal Implications</w:t>
      </w:r>
    </w:p>
    <w:p w:rsidR="00476733" w:rsidRDefault="00476733">
      <w:pPr>
        <w:tabs>
          <w:tab w:val="left" w:pos="720"/>
          <w:tab w:val="left" w:pos="1440"/>
        </w:tabs>
        <w:ind w:left="1440"/>
      </w:pPr>
    </w:p>
    <w:p w:rsidR="00476733" w:rsidRDefault="00476733" w:rsidP="00C455B6">
      <w:pPr>
        <w:tabs>
          <w:tab w:val="left" w:pos="720"/>
          <w:tab w:val="left" w:pos="1440"/>
        </w:tabs>
        <w:ind w:left="1440"/>
      </w:pPr>
      <w:r>
        <w:t>Section 6.2 of the Local Government Act 1995 requires Council to prepare an annual budget.</w:t>
      </w:r>
    </w:p>
    <w:p w:rsidR="00476733" w:rsidRDefault="00476733">
      <w:pPr>
        <w:tabs>
          <w:tab w:val="left" w:pos="720"/>
          <w:tab w:val="left" w:pos="1440"/>
        </w:tabs>
        <w:ind w:left="1440"/>
      </w:pPr>
    </w:p>
    <w:p w:rsidR="00476733" w:rsidRDefault="00476733">
      <w:pPr>
        <w:tabs>
          <w:tab w:val="left" w:pos="720"/>
          <w:tab w:val="left" w:pos="1440"/>
        </w:tabs>
        <w:ind w:left="1440"/>
        <w:rPr>
          <w:b/>
          <w:bCs/>
        </w:rPr>
      </w:pPr>
      <w:r>
        <w:rPr>
          <w:b/>
          <w:bCs/>
        </w:rPr>
        <w:t>Community Consultation</w:t>
      </w:r>
    </w:p>
    <w:p w:rsidR="00476733" w:rsidRDefault="00476733">
      <w:pPr>
        <w:tabs>
          <w:tab w:val="left" w:pos="720"/>
          <w:tab w:val="left" w:pos="1440"/>
        </w:tabs>
        <w:ind w:left="1440"/>
      </w:pPr>
    </w:p>
    <w:p w:rsidR="00476733" w:rsidRPr="00C10773" w:rsidRDefault="00476733" w:rsidP="00C455B6">
      <w:pPr>
        <w:tabs>
          <w:tab w:val="left" w:pos="720"/>
          <w:tab w:val="left" w:pos="1440"/>
        </w:tabs>
        <w:ind w:left="1440"/>
        <w:rPr>
          <w:i/>
        </w:rPr>
      </w:pPr>
      <w:r w:rsidRPr="00C10773">
        <w:t xml:space="preserve">Section 6.36 of the Local Government Act 1995 requires the Council to advertise the differential rates proposed in the budget attachments. The Council advertised the differential rates in the West Australian newspaper on Saturday, 21 May 2016 and the Cockburn Gazette on Tuesday, 24 May 2016.The Objects and Reasons document accompanied by the </w:t>
      </w:r>
      <w:proofErr w:type="spellStart"/>
      <w:r w:rsidRPr="00C10773">
        <w:t>Deloittes</w:t>
      </w:r>
      <w:proofErr w:type="spellEnd"/>
      <w:r w:rsidRPr="00C10773">
        <w:t xml:space="preserve"> report to support the differential rates was placed at the City’s Libraries, on Council’s website, on Council’s social media tools, emailed to all the City’s community groups.  </w:t>
      </w:r>
      <w:r w:rsidRPr="00C10773">
        <w:lastRenderedPageBreak/>
        <w:t>Comments were invited from interested parties with a closing date for submissions on Monday 13 June 2016.</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rPr>
          <w:b/>
          <w:bCs/>
        </w:rPr>
      </w:pPr>
      <w:r>
        <w:rPr>
          <w:b/>
          <w:bCs/>
        </w:rPr>
        <w:t>Risk Management Implications</w:t>
      </w:r>
    </w:p>
    <w:p w:rsidR="00476733" w:rsidRDefault="00476733" w:rsidP="00C455B6">
      <w:pPr>
        <w:tabs>
          <w:tab w:val="left" w:pos="720"/>
          <w:tab w:val="left" w:pos="1440"/>
        </w:tabs>
        <w:ind w:left="1440"/>
      </w:pPr>
    </w:p>
    <w:p w:rsidR="00476733" w:rsidRDefault="00476733" w:rsidP="00C455B6">
      <w:pPr>
        <w:tabs>
          <w:tab w:val="left" w:pos="720"/>
          <w:tab w:val="left" w:pos="1440"/>
        </w:tabs>
        <w:ind w:left="1440"/>
      </w:pPr>
      <w:r>
        <w:t>The adoption of the annual budget allows council to raise rates and other revenue and then expend the funds raised to deliver the services and capital projects recommended in the budget. Without the adoption of the annual budget, the Council will not have the funds to meet the requirements recommended in the budget.</w:t>
      </w:r>
    </w:p>
    <w:p w:rsidR="00476733" w:rsidRDefault="00476733">
      <w:pPr>
        <w:tabs>
          <w:tab w:val="left" w:pos="720"/>
          <w:tab w:val="left" w:pos="1440"/>
        </w:tabs>
        <w:ind w:left="1440"/>
      </w:pPr>
    </w:p>
    <w:p w:rsidR="00476733" w:rsidRDefault="00476733">
      <w:pPr>
        <w:tabs>
          <w:tab w:val="left" w:pos="720"/>
          <w:tab w:val="left" w:pos="1440"/>
        </w:tabs>
        <w:ind w:left="1440"/>
      </w:pPr>
      <w:r>
        <w:rPr>
          <w:b/>
          <w:bCs/>
        </w:rPr>
        <w:t>Attachment(s)</w:t>
      </w:r>
    </w:p>
    <w:p w:rsidR="00476733" w:rsidRDefault="00476733">
      <w:pPr>
        <w:tabs>
          <w:tab w:val="left" w:pos="720"/>
          <w:tab w:val="left" w:pos="1440"/>
        </w:tabs>
        <w:ind w:left="1440"/>
      </w:pPr>
    </w:p>
    <w:p w:rsidR="00476733" w:rsidRDefault="00476733" w:rsidP="00C455B6">
      <w:pPr>
        <w:tabs>
          <w:tab w:val="left" w:pos="720"/>
          <w:tab w:val="left" w:pos="1440"/>
        </w:tabs>
        <w:ind w:left="2160" w:hanging="720"/>
      </w:pPr>
      <w:r>
        <w:t>1.</w:t>
      </w:r>
      <w:r>
        <w:tab/>
        <w:t>2016/17 Municipal Budget and associated schedules, including the 2016/17 Schedule of Fees and Charges.</w:t>
      </w:r>
    </w:p>
    <w:p w:rsidR="00476733" w:rsidRPr="005309E7" w:rsidRDefault="00476733" w:rsidP="00C455B6">
      <w:pPr>
        <w:tabs>
          <w:tab w:val="left" w:pos="720"/>
          <w:tab w:val="left" w:pos="1440"/>
        </w:tabs>
        <w:ind w:left="2160" w:hanging="720"/>
      </w:pPr>
      <w:r w:rsidRPr="005309E7">
        <w:t>2.</w:t>
      </w:r>
      <w:r w:rsidRPr="005309E7">
        <w:tab/>
        <w:t>Map of the Specified Area Rate – Cockburn Coast</w:t>
      </w:r>
    </w:p>
    <w:p w:rsidR="00476733" w:rsidRPr="005309E7" w:rsidRDefault="00476733" w:rsidP="00C455B6">
      <w:pPr>
        <w:tabs>
          <w:tab w:val="left" w:pos="720"/>
          <w:tab w:val="left" w:pos="1440"/>
        </w:tabs>
        <w:ind w:left="2160" w:hanging="720"/>
      </w:pPr>
      <w:r w:rsidRPr="005309E7">
        <w:t>3.</w:t>
      </w:r>
      <w:r w:rsidRPr="005309E7">
        <w:tab/>
        <w:t>Map of the Specified Area Rate – Port Coogee Waterways</w:t>
      </w:r>
    </w:p>
    <w:p w:rsidR="00476733" w:rsidRDefault="00476733" w:rsidP="00C455B6">
      <w:pPr>
        <w:tabs>
          <w:tab w:val="left" w:pos="720"/>
          <w:tab w:val="left" w:pos="1440"/>
        </w:tabs>
        <w:ind w:left="2160" w:hanging="720"/>
      </w:pPr>
      <w:r w:rsidRPr="005309E7">
        <w:t>4.</w:t>
      </w:r>
      <w:r w:rsidRPr="005309E7">
        <w:tab/>
        <w:t>Deloitte Independent Assurance Report – 2016/17 City of Cockburn Rate Setting Model.</w:t>
      </w:r>
    </w:p>
    <w:p w:rsidR="00476733" w:rsidRDefault="00476733" w:rsidP="00C455B6">
      <w:pPr>
        <w:tabs>
          <w:tab w:val="left" w:pos="720"/>
          <w:tab w:val="left" w:pos="1440"/>
        </w:tabs>
        <w:ind w:left="2160" w:hanging="720"/>
      </w:pPr>
      <w:r>
        <w:t>5.</w:t>
      </w:r>
      <w:r>
        <w:tab/>
        <w:t>Banjup Residents Group (</w:t>
      </w:r>
      <w:proofErr w:type="spellStart"/>
      <w:r>
        <w:t>BRG</w:t>
      </w:r>
      <w:proofErr w:type="spellEnd"/>
      <w:r>
        <w:t>) submission in response to advertising Objects &amp; Reasons – Differential Rates.</w:t>
      </w:r>
    </w:p>
    <w:p w:rsidR="00476733" w:rsidRPr="005309E7" w:rsidRDefault="00476733" w:rsidP="00C455B6">
      <w:pPr>
        <w:tabs>
          <w:tab w:val="left" w:pos="720"/>
          <w:tab w:val="left" w:pos="1440"/>
        </w:tabs>
        <w:ind w:left="2160" w:hanging="720"/>
      </w:pPr>
      <w:r>
        <w:t>6.</w:t>
      </w:r>
      <w:r>
        <w:tab/>
        <w:t xml:space="preserve">City’s response to </w:t>
      </w:r>
      <w:proofErr w:type="spellStart"/>
      <w:r>
        <w:t>BRG</w:t>
      </w:r>
      <w:proofErr w:type="spellEnd"/>
      <w:r>
        <w:t xml:space="preserve"> submission.</w:t>
      </w:r>
    </w:p>
    <w:p w:rsidR="00476733" w:rsidRDefault="00476733">
      <w:pPr>
        <w:tabs>
          <w:tab w:val="left" w:pos="720"/>
          <w:tab w:val="left" w:pos="1440"/>
        </w:tabs>
        <w:ind w:left="1440"/>
      </w:pPr>
    </w:p>
    <w:p w:rsidR="00476733" w:rsidRDefault="00476733">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476733" w:rsidRDefault="00476733">
      <w:pPr>
        <w:tabs>
          <w:tab w:val="left" w:pos="720"/>
          <w:tab w:val="left" w:pos="1440"/>
        </w:tabs>
        <w:ind w:left="1440"/>
      </w:pPr>
    </w:p>
    <w:p w:rsidR="00476733" w:rsidRDefault="00476733">
      <w:pPr>
        <w:autoSpaceDE w:val="0"/>
        <w:autoSpaceDN w:val="0"/>
        <w:adjustRightInd w:val="0"/>
        <w:ind w:left="1440"/>
        <w:rPr>
          <w:rFonts w:cs="Arial"/>
          <w:szCs w:val="24"/>
          <w:lang w:val="en-US"/>
        </w:rPr>
      </w:pPr>
      <w:r>
        <w:rPr>
          <w:rFonts w:cs="Arial"/>
          <w:szCs w:val="24"/>
          <w:lang w:val="en-US"/>
        </w:rPr>
        <w:t>N/A</w:t>
      </w:r>
    </w:p>
    <w:p w:rsidR="00476733" w:rsidRDefault="00476733">
      <w:pPr>
        <w:tabs>
          <w:tab w:val="left" w:pos="720"/>
          <w:tab w:val="left" w:pos="1440"/>
        </w:tabs>
        <w:ind w:left="1440"/>
      </w:pPr>
    </w:p>
    <w:p w:rsidR="00476733" w:rsidRDefault="00476733">
      <w:pPr>
        <w:tabs>
          <w:tab w:val="left" w:pos="1440"/>
        </w:tabs>
        <w:ind w:left="1440"/>
      </w:pPr>
      <w:r>
        <w:rPr>
          <w:b/>
        </w:rPr>
        <w:t>Implications of Section 3.18(3) Local Government Act, 1995</w:t>
      </w:r>
    </w:p>
    <w:p w:rsidR="00476733" w:rsidRDefault="00476733">
      <w:pPr>
        <w:tabs>
          <w:tab w:val="left" w:pos="1440"/>
        </w:tabs>
        <w:ind w:left="1440"/>
      </w:pPr>
    </w:p>
    <w:p w:rsidR="00476733" w:rsidRDefault="00476733">
      <w:pPr>
        <w:tabs>
          <w:tab w:val="left" w:pos="1440"/>
        </w:tabs>
        <w:spacing w:after="480"/>
        <w:ind w:left="1440"/>
      </w:pPr>
      <w:proofErr w:type="gramStart"/>
      <w:r>
        <w:t>Nil.</w:t>
      </w:r>
      <w:proofErr w:type="gramEnd"/>
    </w:p>
    <w:p w:rsidR="00476733" w:rsidRDefault="00476733">
      <w:pPr>
        <w:pStyle w:val="AGHEAD3"/>
      </w:pP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2E5C94">
        <w:rPr>
          <w:sz w:val="28"/>
          <w:u w:val="single"/>
        </w:rPr>
        <w:instrText>5827</w:instrText>
      </w:r>
      <w:r>
        <w:rPr>
          <w:sz w:val="28"/>
          <w:u w:val="single"/>
        </w:rPr>
        <w:fldChar w:fldCharType="end"/>
      </w:r>
      <w:r>
        <w:rPr>
          <w:sz w:val="28"/>
          <w:u w:val="single"/>
        </w:rPr>
        <w:instrText xml:space="preserve">&lt;&gt; "" "(MINUTE NO </w:instrText>
      </w:r>
      <w:r>
        <w:rPr>
          <w:sz w:val="28"/>
          <w:u w:val="single"/>
        </w:rPr>
        <w:fldChar w:fldCharType="begin"/>
      </w:r>
      <w:r>
        <w:rPr>
          <w:sz w:val="28"/>
          <w:u w:val="single"/>
        </w:rPr>
        <w:instrText xml:space="preserve"> MERGEFIELD Minute_No_1 </w:instrText>
      </w:r>
      <w:r>
        <w:rPr>
          <w:sz w:val="28"/>
          <w:u w:val="single"/>
        </w:rPr>
        <w:fldChar w:fldCharType="separate"/>
      </w:r>
      <w:r w:rsidRPr="002E5C94">
        <w:rPr>
          <w:sz w:val="28"/>
          <w:u w:val="single"/>
        </w:rPr>
        <w:instrText>5827</w:instrText>
      </w:r>
      <w:r>
        <w:rPr>
          <w:sz w:val="28"/>
          <w:u w:val="single"/>
        </w:rPr>
        <w:fldChar w:fldCharType="end"/>
      </w:r>
      <w:r>
        <w:rPr>
          <w:sz w:val="28"/>
          <w:u w:val="single"/>
        </w:rPr>
        <w:instrText xml:space="preserve">)" "" </w:instrText>
      </w:r>
      <w:r>
        <w:rPr>
          <w:sz w:val="28"/>
          <w:u w:val="single"/>
        </w:rPr>
        <w:fldChar w:fldCharType="separate"/>
      </w:r>
      <w:bookmarkStart w:id="28" w:name="_Toc454780265"/>
      <w:r>
        <w:rPr>
          <w:sz w:val="28"/>
          <w:u w:val="single"/>
        </w:rPr>
        <w:t xml:space="preserve">(MINUTE NO </w:t>
      </w:r>
      <w:r>
        <w:rPr>
          <w:sz w:val="28"/>
          <w:u w:val="single"/>
        </w:rPr>
        <w:fldChar w:fldCharType="begin"/>
      </w:r>
      <w:r>
        <w:rPr>
          <w:sz w:val="28"/>
          <w:u w:val="single"/>
        </w:rPr>
        <w:instrText xml:space="preserve"> MERGEFIELD Minute_No_1 </w:instrText>
      </w:r>
      <w:r>
        <w:rPr>
          <w:sz w:val="28"/>
          <w:u w:val="single"/>
        </w:rPr>
        <w:fldChar w:fldCharType="separate"/>
      </w:r>
      <w:r w:rsidRPr="002E5C94">
        <w:rPr>
          <w:sz w:val="28"/>
          <w:u w:val="single"/>
        </w:rPr>
        <w:t>5827</w:t>
      </w:r>
      <w:r>
        <w:rPr>
          <w:sz w:val="28"/>
          <w:u w:val="single"/>
        </w:rPr>
        <w:fldChar w:fldCharType="end"/>
      </w:r>
      <w:r>
        <w:rPr>
          <w:sz w:val="28"/>
          <w:u w:val="single"/>
        </w:rPr>
        <w:t>)</w:t>
      </w:r>
      <w:r>
        <w:rPr>
          <w:sz w:val="28"/>
          <w:u w:val="single"/>
        </w:rPr>
        <w:fldChar w:fldCharType="end"/>
      </w:r>
      <w:r>
        <w:t xml:space="preserve"> (</w:t>
      </w:r>
      <w:r>
        <w:fldChar w:fldCharType="begin"/>
      </w:r>
      <w:r>
        <w:instrText xml:space="preserve"> MERGEFIELD Meeting_Alternate \* Upper </w:instrText>
      </w:r>
      <w:r>
        <w:fldChar w:fldCharType="separate"/>
      </w:r>
      <w:r w:rsidRPr="002E5C94">
        <w:rPr>
          <w:caps w:val="0"/>
        </w:rPr>
        <w:t>SCM 23/06/2016</w:t>
      </w:r>
      <w:r>
        <w:fldChar w:fldCharType="end"/>
      </w:r>
      <w:r>
        <w:t xml:space="preserve">) - </w:t>
      </w:r>
      <w:r>
        <w:fldChar w:fldCharType="begin"/>
      </w:r>
      <w:r>
        <w:instrText xml:space="preserve"> MERGEFIELD SUBJECT </w:instrText>
      </w:r>
      <w:r>
        <w:fldChar w:fldCharType="separate"/>
      </w:r>
      <w:r w:rsidRPr="002E5C94">
        <w:t>SUSPENSION OF STANDING ORDERS</w:t>
      </w:r>
      <w:bookmarkEnd w:id="28"/>
      <w:r>
        <w:fldChar w:fldCharType="end"/>
      </w:r>
    </w:p>
    <w:tbl>
      <w:tblPr>
        <w:tblW w:w="7785" w:type="dxa"/>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tc>
          <w:tcPr>
            <w:tcW w:w="7785" w:type="dxa"/>
          </w:tcPr>
          <w:p w:rsidR="00476733" w:rsidRDefault="00476733">
            <w:pPr>
              <w:tabs>
                <w:tab w:val="left" w:pos="720"/>
                <w:tab w:val="left" w:pos="1440"/>
              </w:tabs>
              <w:rPr>
                <w:b/>
              </w:rPr>
            </w:pPr>
            <w:r>
              <w:rPr>
                <w:b/>
              </w:rPr>
              <w:t>COUNCIL DECISION</w:t>
            </w:r>
          </w:p>
          <w:p w:rsidR="00476733" w:rsidRPr="00F150A0" w:rsidRDefault="00476733">
            <w:pPr>
              <w:rPr>
                <w:rFonts w:cs="Arial"/>
              </w:rPr>
            </w:pPr>
            <w:r>
              <w:rPr>
                <w:noProof/>
              </w:rPr>
              <w:t xml:space="preserve">MOVED </w:t>
            </w:r>
            <w:r w:rsidRPr="002E5C94">
              <w:rPr>
                <w:noProof/>
              </w:rPr>
              <w:t>Clr</w:t>
            </w:r>
            <w:r>
              <w:t xml:space="preserve"> </w:t>
            </w:r>
            <w:r w:rsidRPr="002E5C94">
              <w:rPr>
                <w:noProof/>
              </w:rPr>
              <w:t>S Portelli</w:t>
            </w:r>
            <w:r>
              <w:t xml:space="preserve"> </w:t>
            </w:r>
            <w:r>
              <w:rPr>
                <w:noProof/>
              </w:rPr>
              <w:t xml:space="preserve">SECONDED </w:t>
            </w:r>
            <w:r w:rsidRPr="002E5C94">
              <w:rPr>
                <w:noProof/>
              </w:rPr>
              <w:t>Deputy Mayor</w:t>
            </w:r>
            <w:r>
              <w:t xml:space="preserve"> </w:t>
            </w:r>
            <w:r w:rsidRPr="002E5C94">
              <w:rPr>
                <w:noProof/>
              </w:rPr>
              <w:t>C Reeve-Fowkes</w:t>
            </w:r>
            <w:r>
              <w:t xml:space="preserve"> </w:t>
            </w:r>
            <w:r>
              <w:rPr>
                <w:rFonts w:cs="Arial"/>
              </w:rPr>
              <w:t xml:space="preserve">that Council pursuant to Clause 22.1 of Standing Orders, the time being 6.33 pm the meeting </w:t>
            </w:r>
            <w:proofErr w:type="gramStart"/>
            <w:r>
              <w:rPr>
                <w:rFonts w:cs="Arial"/>
              </w:rPr>
              <w:t>be</w:t>
            </w:r>
            <w:proofErr w:type="gramEnd"/>
            <w:r>
              <w:rPr>
                <w:rFonts w:cs="Arial"/>
              </w:rPr>
              <w:t xml:space="preserve"> suspended for 10 minutes to allow Elected Members to formulate an alternative recommendation in relation to Item 9.2.</w:t>
            </w:r>
          </w:p>
          <w:p w:rsidR="00476733" w:rsidRDefault="00476733" w:rsidP="00C455B6"/>
          <w:p w:rsidR="00476733" w:rsidRDefault="00476733">
            <w:pPr>
              <w:tabs>
                <w:tab w:val="left" w:pos="720"/>
                <w:tab w:val="left" w:pos="1440"/>
              </w:tabs>
              <w:jc w:val="right"/>
              <w:rPr>
                <w:b/>
                <w:bCs/>
                <w:u w:val="single"/>
              </w:rPr>
            </w:pPr>
            <w:r w:rsidRPr="002E5C94">
              <w:rPr>
                <w:b/>
                <w:bCs/>
                <w:noProof/>
                <w:u w:val="single"/>
              </w:rPr>
              <w:t>CARRIED</w:t>
            </w:r>
            <w:r>
              <w:rPr>
                <w:b/>
                <w:bCs/>
                <w:noProof/>
                <w:u w:val="single"/>
              </w:rPr>
              <w:t xml:space="preserve"> </w:t>
            </w:r>
            <w:r w:rsidRPr="002E5C94">
              <w:rPr>
                <w:b/>
                <w:bCs/>
                <w:noProof/>
                <w:u w:val="single"/>
              </w:rPr>
              <w:t>8/0</w:t>
            </w:r>
          </w:p>
          <w:p w:rsidR="00476733" w:rsidRDefault="00476733">
            <w:pPr>
              <w:pStyle w:val="CommentText"/>
              <w:tabs>
                <w:tab w:val="left" w:pos="720"/>
                <w:tab w:val="left" w:pos="1440"/>
              </w:tabs>
              <w:rPr>
                <w:bCs/>
              </w:rPr>
            </w:pPr>
          </w:p>
        </w:tc>
      </w:tr>
    </w:tbl>
    <w:p w:rsidR="00C455B6" w:rsidRDefault="00C455B6">
      <w:pPr>
        <w:tabs>
          <w:tab w:val="left" w:pos="1418"/>
          <w:tab w:val="left" w:pos="3261"/>
        </w:tabs>
        <w:ind w:left="1418"/>
      </w:pPr>
    </w:p>
    <w:p w:rsidR="00C455B6" w:rsidRDefault="00C455B6">
      <w:pPr>
        <w:tabs>
          <w:tab w:val="left" w:pos="1418"/>
          <w:tab w:val="left" w:pos="3261"/>
        </w:tabs>
        <w:ind w:left="1418"/>
      </w:pPr>
    </w:p>
    <w:p w:rsidR="00476733" w:rsidRDefault="00476733">
      <w:pPr>
        <w:tabs>
          <w:tab w:val="left" w:pos="1418"/>
          <w:tab w:val="left" w:pos="3261"/>
        </w:tabs>
        <w:ind w:left="1418"/>
        <w:rPr>
          <w:bCs/>
        </w:rPr>
      </w:pPr>
      <w:r>
        <w:fldChar w:fldCharType="begin"/>
      </w:r>
      <w:r>
        <w:instrText xml:space="preserve"> IF </w:instrText>
      </w:r>
      <w:r>
        <w:rPr>
          <w:b/>
          <w:bCs/>
        </w:rPr>
        <w:fldChar w:fldCharType="begin"/>
      </w:r>
      <w:r>
        <w:rPr>
          <w:b/>
          <w:bCs/>
        </w:rPr>
        <w:instrText xml:space="preserve"> MERGEFIELD Explanation_Doc_1 </w:instrText>
      </w:r>
      <w:r>
        <w:rPr>
          <w:b/>
          <w:bCs/>
        </w:rPr>
        <w:fldChar w:fldCharType="end"/>
      </w:r>
      <w:r>
        <w:instrText xml:space="preserve">&lt;&gt; "" "" "" </w:instrText>
      </w:r>
      <w:r>
        <w:fldChar w:fldCharType="end"/>
      </w:r>
    </w:p>
    <w:p w:rsidR="00476733" w:rsidRDefault="00476733">
      <w:pPr>
        <w:pStyle w:val="AGHEAD3"/>
      </w:pPr>
      <w:r>
        <w:rPr>
          <w:sz w:val="28"/>
          <w:u w:val="single"/>
        </w:rPr>
        <w:lastRenderedPageBreak/>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B21935">
        <w:rPr>
          <w:sz w:val="28"/>
          <w:u w:val="single"/>
        </w:rPr>
        <w:instrText>5828</w:instrText>
      </w:r>
      <w:r>
        <w:rPr>
          <w:sz w:val="28"/>
          <w:u w:val="single"/>
        </w:rPr>
        <w:fldChar w:fldCharType="end"/>
      </w:r>
      <w:r>
        <w:rPr>
          <w:sz w:val="28"/>
          <w:u w:val="single"/>
        </w:rPr>
        <w:instrText xml:space="preserve">&lt;&gt; "" "(MINUTE NO </w:instrText>
      </w:r>
      <w:r>
        <w:rPr>
          <w:sz w:val="28"/>
          <w:u w:val="single"/>
        </w:rPr>
        <w:fldChar w:fldCharType="begin"/>
      </w:r>
      <w:r>
        <w:rPr>
          <w:sz w:val="28"/>
          <w:u w:val="single"/>
        </w:rPr>
        <w:instrText xml:space="preserve"> MERGEFIELD Minute_No_1 </w:instrText>
      </w:r>
      <w:r>
        <w:rPr>
          <w:sz w:val="28"/>
          <w:u w:val="single"/>
        </w:rPr>
        <w:fldChar w:fldCharType="separate"/>
      </w:r>
      <w:r w:rsidRPr="00B21935">
        <w:rPr>
          <w:sz w:val="28"/>
          <w:u w:val="single"/>
        </w:rPr>
        <w:instrText>5828</w:instrText>
      </w:r>
      <w:r>
        <w:rPr>
          <w:sz w:val="28"/>
          <w:u w:val="single"/>
        </w:rPr>
        <w:fldChar w:fldCharType="end"/>
      </w:r>
      <w:r>
        <w:rPr>
          <w:sz w:val="28"/>
          <w:u w:val="single"/>
        </w:rPr>
        <w:instrText xml:space="preserve">)" "" </w:instrText>
      </w:r>
      <w:r>
        <w:rPr>
          <w:sz w:val="28"/>
          <w:u w:val="single"/>
        </w:rPr>
        <w:fldChar w:fldCharType="separate"/>
      </w:r>
      <w:bookmarkStart w:id="29" w:name="_Toc454780266"/>
      <w:r>
        <w:rPr>
          <w:sz w:val="28"/>
          <w:u w:val="single"/>
        </w:rPr>
        <w:t xml:space="preserve">(MINUTE NO </w:t>
      </w:r>
      <w:r>
        <w:rPr>
          <w:sz w:val="28"/>
          <w:u w:val="single"/>
        </w:rPr>
        <w:fldChar w:fldCharType="begin"/>
      </w:r>
      <w:r>
        <w:rPr>
          <w:sz w:val="28"/>
          <w:u w:val="single"/>
        </w:rPr>
        <w:instrText xml:space="preserve"> MERGEFIELD Minute_No_1 </w:instrText>
      </w:r>
      <w:r>
        <w:rPr>
          <w:sz w:val="28"/>
          <w:u w:val="single"/>
        </w:rPr>
        <w:fldChar w:fldCharType="separate"/>
      </w:r>
      <w:r w:rsidRPr="00B21935">
        <w:rPr>
          <w:sz w:val="28"/>
          <w:u w:val="single"/>
        </w:rPr>
        <w:t>5828</w:t>
      </w:r>
      <w:r>
        <w:rPr>
          <w:sz w:val="28"/>
          <w:u w:val="single"/>
        </w:rPr>
        <w:fldChar w:fldCharType="end"/>
      </w:r>
      <w:r>
        <w:rPr>
          <w:sz w:val="28"/>
          <w:u w:val="single"/>
        </w:rPr>
        <w:t>)</w:t>
      </w:r>
      <w:r>
        <w:rPr>
          <w:sz w:val="28"/>
          <w:u w:val="single"/>
        </w:rPr>
        <w:fldChar w:fldCharType="end"/>
      </w:r>
      <w:r>
        <w:t xml:space="preserve"> (</w:t>
      </w:r>
      <w:r>
        <w:fldChar w:fldCharType="begin"/>
      </w:r>
      <w:r>
        <w:instrText xml:space="preserve"> MERGEFIELD Meeting_Alternate \* Upper </w:instrText>
      </w:r>
      <w:r>
        <w:fldChar w:fldCharType="separate"/>
      </w:r>
      <w:r w:rsidRPr="00B21935">
        <w:rPr>
          <w:caps w:val="0"/>
        </w:rPr>
        <w:t>SCM 23/06/2016</w:t>
      </w:r>
      <w:r>
        <w:fldChar w:fldCharType="end"/>
      </w:r>
      <w:r>
        <w:t xml:space="preserve">) - </w:t>
      </w:r>
      <w:r>
        <w:fldChar w:fldCharType="begin"/>
      </w:r>
      <w:r>
        <w:instrText xml:space="preserve"> MERGEFIELD SUBJECT </w:instrText>
      </w:r>
      <w:r>
        <w:fldChar w:fldCharType="separate"/>
      </w:r>
      <w:r w:rsidRPr="00B21935">
        <w:t>RESUMPTION OF STANDING ORDERS</w:t>
      </w:r>
      <w:bookmarkEnd w:id="29"/>
      <w:r>
        <w:fldChar w:fldCharType="end"/>
      </w:r>
    </w:p>
    <w:tbl>
      <w:tblPr>
        <w:tblW w:w="7785" w:type="dxa"/>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tc>
          <w:tcPr>
            <w:tcW w:w="7785" w:type="dxa"/>
          </w:tcPr>
          <w:p w:rsidR="00476733" w:rsidRDefault="00476733">
            <w:pPr>
              <w:tabs>
                <w:tab w:val="left" w:pos="720"/>
                <w:tab w:val="left" w:pos="1440"/>
              </w:tabs>
              <w:rPr>
                <w:b/>
              </w:rPr>
            </w:pPr>
            <w:r>
              <w:rPr>
                <w:b/>
              </w:rPr>
              <w:t>COUNCIL DECISION</w:t>
            </w:r>
          </w:p>
          <w:p w:rsidR="00476733" w:rsidRPr="00F150A0" w:rsidRDefault="00476733">
            <w:pPr>
              <w:rPr>
                <w:rFonts w:cs="Arial"/>
              </w:rPr>
            </w:pPr>
            <w:r>
              <w:rPr>
                <w:noProof/>
              </w:rPr>
              <w:t xml:space="preserve">MOVED </w:t>
            </w:r>
            <w:r w:rsidRPr="00B21935">
              <w:rPr>
                <w:noProof/>
              </w:rPr>
              <w:t>Clr</w:t>
            </w:r>
            <w:r>
              <w:t xml:space="preserve"> </w:t>
            </w:r>
            <w:r w:rsidRPr="00B21935">
              <w:rPr>
                <w:noProof/>
              </w:rPr>
              <w:t>S Portelli</w:t>
            </w:r>
            <w:r>
              <w:t xml:space="preserve"> </w:t>
            </w:r>
            <w:r>
              <w:rPr>
                <w:noProof/>
              </w:rPr>
              <w:t xml:space="preserve">SECONDED </w:t>
            </w:r>
            <w:r w:rsidRPr="00B21935">
              <w:rPr>
                <w:noProof/>
              </w:rPr>
              <w:t>Deputy Mayor</w:t>
            </w:r>
            <w:r>
              <w:t xml:space="preserve"> </w:t>
            </w:r>
            <w:r w:rsidRPr="00B21935">
              <w:rPr>
                <w:noProof/>
              </w:rPr>
              <w:t>C Reeve-Fowkes</w:t>
            </w:r>
            <w:r>
              <w:t xml:space="preserve"> </w:t>
            </w:r>
            <w:r>
              <w:rPr>
                <w:rFonts w:cs="Arial"/>
              </w:rPr>
              <w:t xml:space="preserve">that Council </w:t>
            </w:r>
            <w:proofErr w:type="gramStart"/>
            <w:r>
              <w:rPr>
                <w:rFonts w:cs="Arial"/>
              </w:rPr>
              <w:t>resume</w:t>
            </w:r>
            <w:proofErr w:type="gramEnd"/>
            <w:r>
              <w:rPr>
                <w:rFonts w:cs="Arial"/>
              </w:rPr>
              <w:t xml:space="preserve"> Standing Orders the time being 6.45 pm.</w:t>
            </w:r>
          </w:p>
          <w:p w:rsidR="00476733" w:rsidRDefault="00476733">
            <w:pPr>
              <w:tabs>
                <w:tab w:val="left" w:pos="720"/>
                <w:tab w:val="left" w:pos="1440"/>
              </w:tabs>
              <w:jc w:val="right"/>
              <w:rPr>
                <w:noProof/>
              </w:rPr>
            </w:pPr>
          </w:p>
          <w:p w:rsidR="00476733" w:rsidRDefault="00476733">
            <w:pPr>
              <w:tabs>
                <w:tab w:val="left" w:pos="720"/>
                <w:tab w:val="left" w:pos="1440"/>
              </w:tabs>
              <w:jc w:val="right"/>
              <w:rPr>
                <w:b/>
                <w:bCs/>
                <w:u w:val="single"/>
              </w:rPr>
            </w:pPr>
            <w:r w:rsidRPr="00B21935">
              <w:rPr>
                <w:b/>
                <w:bCs/>
                <w:noProof/>
                <w:u w:val="single"/>
              </w:rPr>
              <w:t>CARRIED</w:t>
            </w:r>
            <w:r>
              <w:rPr>
                <w:b/>
                <w:bCs/>
                <w:noProof/>
                <w:u w:val="single"/>
              </w:rPr>
              <w:t xml:space="preserve"> </w:t>
            </w:r>
            <w:r w:rsidRPr="00B21935">
              <w:rPr>
                <w:b/>
                <w:bCs/>
                <w:noProof/>
                <w:u w:val="single"/>
              </w:rPr>
              <w:t>8/0</w:t>
            </w:r>
          </w:p>
          <w:p w:rsidR="00476733" w:rsidRDefault="00476733">
            <w:pPr>
              <w:pStyle w:val="CommentText"/>
              <w:tabs>
                <w:tab w:val="left" w:pos="720"/>
                <w:tab w:val="left" w:pos="1440"/>
              </w:tabs>
              <w:rPr>
                <w:bCs/>
              </w:rPr>
            </w:pPr>
          </w:p>
        </w:tc>
      </w:tr>
    </w:tbl>
    <w:p w:rsidR="00476733" w:rsidRDefault="00476733">
      <w:pPr>
        <w:pStyle w:val="AGHEAD3"/>
      </w:pPr>
      <w:r>
        <w:rPr>
          <w:sz w:val="28"/>
          <w:u w:val="single"/>
        </w:rPr>
        <w:fldChar w:fldCharType="begin"/>
      </w:r>
      <w:r>
        <w:rPr>
          <w:sz w:val="28"/>
          <w:u w:val="single"/>
        </w:rPr>
        <w:instrText xml:space="preserve"> IF </w:instrText>
      </w:r>
      <w:r>
        <w:rPr>
          <w:sz w:val="28"/>
          <w:u w:val="single"/>
        </w:rPr>
        <w:fldChar w:fldCharType="begin"/>
      </w:r>
      <w:r>
        <w:rPr>
          <w:sz w:val="28"/>
          <w:u w:val="single"/>
        </w:rPr>
        <w:instrText xml:space="preserve"> MERGEFIELD Minute_No_1 </w:instrText>
      </w:r>
      <w:r>
        <w:rPr>
          <w:sz w:val="28"/>
          <w:u w:val="single"/>
        </w:rPr>
        <w:fldChar w:fldCharType="separate"/>
      </w:r>
      <w:r w:rsidRPr="00A860EE">
        <w:rPr>
          <w:sz w:val="28"/>
          <w:u w:val="single"/>
        </w:rPr>
        <w:instrText>5829</w:instrText>
      </w:r>
      <w:r>
        <w:rPr>
          <w:sz w:val="28"/>
          <w:u w:val="single"/>
        </w:rPr>
        <w:fldChar w:fldCharType="end"/>
      </w:r>
      <w:r>
        <w:rPr>
          <w:sz w:val="28"/>
          <w:u w:val="single"/>
        </w:rPr>
        <w:instrText xml:space="preserve">&lt;&gt; "" "(MINUTE NO </w:instrText>
      </w:r>
      <w:r>
        <w:rPr>
          <w:sz w:val="28"/>
          <w:u w:val="single"/>
        </w:rPr>
        <w:fldChar w:fldCharType="begin"/>
      </w:r>
      <w:r>
        <w:rPr>
          <w:sz w:val="28"/>
          <w:u w:val="single"/>
        </w:rPr>
        <w:instrText xml:space="preserve"> MERGEFIELD Minute_No_1 </w:instrText>
      </w:r>
      <w:r>
        <w:rPr>
          <w:sz w:val="28"/>
          <w:u w:val="single"/>
        </w:rPr>
        <w:fldChar w:fldCharType="separate"/>
      </w:r>
      <w:r w:rsidRPr="00A860EE">
        <w:rPr>
          <w:sz w:val="28"/>
          <w:u w:val="single"/>
        </w:rPr>
        <w:instrText>5829</w:instrText>
      </w:r>
      <w:r>
        <w:rPr>
          <w:sz w:val="28"/>
          <w:u w:val="single"/>
        </w:rPr>
        <w:fldChar w:fldCharType="end"/>
      </w:r>
      <w:r>
        <w:rPr>
          <w:sz w:val="28"/>
          <w:u w:val="single"/>
        </w:rPr>
        <w:instrText xml:space="preserve">)" "" </w:instrText>
      </w:r>
      <w:r>
        <w:rPr>
          <w:sz w:val="28"/>
          <w:u w:val="single"/>
        </w:rPr>
        <w:fldChar w:fldCharType="separate"/>
      </w:r>
      <w:bookmarkStart w:id="30" w:name="_Toc454780267"/>
      <w:r>
        <w:rPr>
          <w:sz w:val="28"/>
          <w:u w:val="single"/>
        </w:rPr>
        <w:t xml:space="preserve">(MINUTE NO </w:t>
      </w:r>
      <w:r>
        <w:rPr>
          <w:sz w:val="28"/>
          <w:u w:val="single"/>
        </w:rPr>
        <w:fldChar w:fldCharType="begin"/>
      </w:r>
      <w:r>
        <w:rPr>
          <w:sz w:val="28"/>
          <w:u w:val="single"/>
        </w:rPr>
        <w:instrText xml:space="preserve"> MERGEFIELD Minute_No_1 </w:instrText>
      </w:r>
      <w:r>
        <w:rPr>
          <w:sz w:val="28"/>
          <w:u w:val="single"/>
        </w:rPr>
        <w:fldChar w:fldCharType="separate"/>
      </w:r>
      <w:r w:rsidRPr="00A860EE">
        <w:rPr>
          <w:sz w:val="28"/>
          <w:u w:val="single"/>
        </w:rPr>
        <w:t>5829</w:t>
      </w:r>
      <w:r>
        <w:rPr>
          <w:sz w:val="28"/>
          <w:u w:val="single"/>
        </w:rPr>
        <w:fldChar w:fldCharType="end"/>
      </w:r>
      <w:r>
        <w:rPr>
          <w:sz w:val="28"/>
          <w:u w:val="single"/>
        </w:rPr>
        <w:t>)</w:t>
      </w:r>
      <w:r>
        <w:rPr>
          <w:sz w:val="28"/>
          <w:u w:val="single"/>
        </w:rPr>
        <w:fldChar w:fldCharType="end"/>
      </w:r>
      <w:r>
        <w:t xml:space="preserve"> (</w:t>
      </w:r>
      <w:r>
        <w:fldChar w:fldCharType="begin"/>
      </w:r>
      <w:r>
        <w:instrText xml:space="preserve"> MERGEFIELD Meeting_Alternate \* Upper </w:instrText>
      </w:r>
      <w:r>
        <w:fldChar w:fldCharType="separate"/>
      </w:r>
      <w:r w:rsidRPr="00A860EE">
        <w:rPr>
          <w:caps w:val="0"/>
        </w:rPr>
        <w:t>SCM 23/06/2016</w:t>
      </w:r>
      <w:r>
        <w:fldChar w:fldCharType="end"/>
      </w:r>
      <w:r>
        <w:t xml:space="preserve">) - </w:t>
      </w:r>
      <w:r>
        <w:fldChar w:fldCharType="begin"/>
      </w:r>
      <w:r>
        <w:instrText xml:space="preserve"> MERGEFIELD SUBJECT </w:instrText>
      </w:r>
      <w:r>
        <w:fldChar w:fldCharType="separate"/>
      </w:r>
      <w:r w:rsidRPr="00A860EE">
        <w:t>ADOPTION OF 2016/17 DIFFERENTIAL RATES, 2016/17 MUNICIPAL BUDGET AND 2016/17 SCHEDULE OF FEES AND CHARGES  (071/006; 075/011; 097/009)  (S DOWNING/N MAURICIO)  (ATTACH)</w:t>
      </w:r>
      <w:bookmarkEnd w:id="30"/>
      <w:r>
        <w:fldChar w:fldCharType="end"/>
      </w:r>
    </w:p>
    <w:tbl>
      <w:tblPr>
        <w:tblW w:w="7785" w:type="dxa"/>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476733">
        <w:tc>
          <w:tcPr>
            <w:tcW w:w="7785" w:type="dxa"/>
          </w:tcPr>
          <w:p w:rsidR="00476733" w:rsidRDefault="00476733">
            <w:pPr>
              <w:tabs>
                <w:tab w:val="left" w:pos="720"/>
                <w:tab w:val="left" w:pos="1440"/>
              </w:tabs>
              <w:rPr>
                <w:b/>
              </w:rPr>
            </w:pPr>
            <w:r>
              <w:rPr>
                <w:b/>
              </w:rPr>
              <w:t>COUNCIL DECISION</w:t>
            </w:r>
          </w:p>
          <w:p w:rsidR="00476733" w:rsidRDefault="00476733" w:rsidP="00C455B6">
            <w:pPr>
              <w:rPr>
                <w:rFonts w:cs="Arial"/>
              </w:rPr>
            </w:pPr>
            <w:r>
              <w:rPr>
                <w:noProof/>
              </w:rPr>
              <w:t xml:space="preserve">MOVED </w:t>
            </w:r>
            <w:r w:rsidRPr="00A860EE">
              <w:rPr>
                <w:noProof/>
              </w:rPr>
              <w:t>Clr</w:t>
            </w:r>
            <w:r>
              <w:t xml:space="preserve"> </w:t>
            </w:r>
            <w:r w:rsidRPr="00A860EE">
              <w:rPr>
                <w:noProof/>
              </w:rPr>
              <w:t>K Allen</w:t>
            </w:r>
            <w:r>
              <w:t xml:space="preserve"> </w:t>
            </w:r>
            <w:r>
              <w:rPr>
                <w:noProof/>
              </w:rPr>
              <w:t xml:space="preserve">SECONDED </w:t>
            </w:r>
            <w:r w:rsidRPr="00A860EE">
              <w:rPr>
                <w:noProof/>
              </w:rPr>
              <w:t>Clr</w:t>
            </w:r>
            <w:r>
              <w:t xml:space="preserve"> </w:t>
            </w:r>
            <w:r w:rsidRPr="00A860EE">
              <w:rPr>
                <w:noProof/>
              </w:rPr>
              <w:t>S Portelli</w:t>
            </w:r>
            <w:r>
              <w:t xml:space="preserve"> </w:t>
            </w:r>
            <w:r>
              <w:rPr>
                <w:rFonts w:cs="Arial"/>
              </w:rPr>
              <w:t>that Council adopt the recommendation subject to the following amendments:</w:t>
            </w:r>
          </w:p>
          <w:p w:rsidR="00476733" w:rsidRDefault="00476733" w:rsidP="00C455B6">
            <w:pPr>
              <w:rPr>
                <w:rFonts w:cs="Arial"/>
              </w:rPr>
            </w:pPr>
          </w:p>
          <w:p w:rsidR="00476733" w:rsidRPr="00686D3E" w:rsidRDefault="00476733" w:rsidP="00C455B6">
            <w:pPr>
              <w:ind w:left="720" w:hanging="720"/>
              <w:rPr>
                <w:rFonts w:cs="Arial"/>
              </w:rPr>
            </w:pPr>
            <w:r>
              <w:rPr>
                <w:rFonts w:cs="Arial"/>
              </w:rPr>
              <w:t xml:space="preserve"> (1)</w:t>
            </w:r>
            <w:r>
              <w:rPr>
                <w:rFonts w:cs="Arial"/>
              </w:rPr>
              <w:tab/>
            </w:r>
            <w:r w:rsidRPr="00686D3E">
              <w:rPr>
                <w:rFonts w:cs="Arial"/>
              </w:rPr>
              <w:t xml:space="preserve">amending Clause (1) Part A – Municipal Fund Budget 2016/17 to reflect the following reduced expenditure and reduced rates income of $300,000 as follows: </w:t>
            </w:r>
          </w:p>
          <w:p w:rsidR="00476733" w:rsidRPr="00686D3E" w:rsidRDefault="00476733" w:rsidP="00C455B6">
            <w:pPr>
              <w:ind w:left="720" w:hanging="720"/>
              <w:rPr>
                <w:rFonts w:cs="Arial"/>
              </w:rPr>
            </w:pPr>
          </w:p>
          <w:p w:rsidR="00476733" w:rsidRDefault="00476733" w:rsidP="00476733">
            <w:pPr>
              <w:pStyle w:val="ListParagraph"/>
              <w:numPr>
                <w:ilvl w:val="0"/>
                <w:numId w:val="40"/>
              </w:numPr>
              <w:ind w:left="1080"/>
              <w:rPr>
                <w:rFonts w:cs="Arial"/>
                <w:szCs w:val="24"/>
              </w:rPr>
            </w:pPr>
            <w:r>
              <w:t>$35</w:t>
            </w:r>
            <w:r w:rsidR="000D3B8F">
              <w:t>,000</w:t>
            </w:r>
            <w:r>
              <w:t xml:space="preserve"> – Printing &amp; Stationery costs across the board</w:t>
            </w:r>
          </w:p>
          <w:p w:rsidR="00476733" w:rsidRDefault="00476733" w:rsidP="00476733">
            <w:pPr>
              <w:pStyle w:val="ListParagraph"/>
              <w:numPr>
                <w:ilvl w:val="0"/>
                <w:numId w:val="40"/>
              </w:numPr>
              <w:ind w:left="1080"/>
            </w:pPr>
            <w:r>
              <w:t>$35</w:t>
            </w:r>
            <w:r w:rsidR="000D3B8F">
              <w:t>,000</w:t>
            </w:r>
            <w:r>
              <w:t xml:space="preserve"> – Rates bank charges</w:t>
            </w:r>
          </w:p>
          <w:p w:rsidR="00476733" w:rsidRDefault="00476733" w:rsidP="00476733">
            <w:pPr>
              <w:pStyle w:val="ListParagraph"/>
              <w:numPr>
                <w:ilvl w:val="0"/>
                <w:numId w:val="40"/>
              </w:numPr>
              <w:ind w:left="1080"/>
            </w:pPr>
            <w:r>
              <w:t>$50</w:t>
            </w:r>
            <w:r w:rsidR="000D3B8F">
              <w:t>,000</w:t>
            </w:r>
            <w:r>
              <w:t xml:space="preserve"> - New Corporate Traineeship scheme </w:t>
            </w:r>
          </w:p>
          <w:p w:rsidR="00476733" w:rsidRDefault="00476733" w:rsidP="00476733">
            <w:pPr>
              <w:pStyle w:val="ListParagraph"/>
              <w:numPr>
                <w:ilvl w:val="0"/>
                <w:numId w:val="40"/>
              </w:numPr>
              <w:ind w:left="1080"/>
            </w:pPr>
            <w:r>
              <w:t>$40</w:t>
            </w:r>
            <w:r w:rsidR="000D3B8F">
              <w:t>,000</w:t>
            </w:r>
            <w:r>
              <w:t xml:space="preserve"> – Elected Member Budget Contingency </w:t>
            </w:r>
          </w:p>
          <w:p w:rsidR="00476733" w:rsidRDefault="00476733" w:rsidP="00476733">
            <w:pPr>
              <w:pStyle w:val="ListParagraph"/>
              <w:numPr>
                <w:ilvl w:val="0"/>
                <w:numId w:val="40"/>
              </w:numPr>
              <w:ind w:left="1080"/>
            </w:pPr>
            <w:r>
              <w:t>$50</w:t>
            </w:r>
            <w:r w:rsidR="000D3B8F">
              <w:t>,000</w:t>
            </w:r>
            <w:r>
              <w:t xml:space="preserve"> - Street name sign maintenance</w:t>
            </w:r>
          </w:p>
          <w:p w:rsidR="00476733" w:rsidRDefault="00476733" w:rsidP="00476733">
            <w:pPr>
              <w:pStyle w:val="ListParagraph"/>
              <w:numPr>
                <w:ilvl w:val="0"/>
                <w:numId w:val="40"/>
              </w:numPr>
              <w:ind w:left="1080"/>
            </w:pPr>
            <w:r>
              <w:t>$40</w:t>
            </w:r>
            <w:r w:rsidR="000D3B8F">
              <w:t>,000</w:t>
            </w:r>
            <w:r>
              <w:t xml:space="preserve"> – Sump rationalisation review</w:t>
            </w:r>
          </w:p>
          <w:p w:rsidR="00476733" w:rsidRDefault="00476733" w:rsidP="00476733">
            <w:pPr>
              <w:pStyle w:val="ListParagraph"/>
              <w:numPr>
                <w:ilvl w:val="0"/>
                <w:numId w:val="40"/>
              </w:numPr>
              <w:ind w:left="1080"/>
              <w:rPr>
                <w:rFonts w:cs="Arial"/>
              </w:rPr>
            </w:pPr>
            <w:r>
              <w:t>$50</w:t>
            </w:r>
            <w:r w:rsidR="000D3B8F">
              <w:t>,000</w:t>
            </w:r>
            <w:r>
              <w:t xml:space="preserve"> – Drainage investigation and design</w:t>
            </w:r>
            <w:r>
              <w:rPr>
                <w:rFonts w:cs="Arial"/>
              </w:rPr>
              <w:t xml:space="preserve">; </w:t>
            </w:r>
          </w:p>
          <w:p w:rsidR="00476733" w:rsidRDefault="00476733">
            <w:pPr>
              <w:rPr>
                <w:rFonts w:cs="Arial"/>
              </w:rPr>
            </w:pPr>
          </w:p>
          <w:p w:rsidR="00476733" w:rsidRDefault="00476733" w:rsidP="00C455B6">
            <w:pPr>
              <w:ind w:left="720" w:hanging="720"/>
              <w:rPr>
                <w:rFonts w:cs="Arial"/>
              </w:rPr>
            </w:pPr>
            <w:r>
              <w:rPr>
                <w:rFonts w:cs="Arial"/>
              </w:rPr>
              <w:t>(2)</w:t>
            </w:r>
            <w:r>
              <w:rPr>
                <w:rFonts w:cs="Arial"/>
              </w:rPr>
              <w:tab/>
              <w:t>amending Clause (2) 1 and 2 of Part B – General and Minimum Rates, Instalment Payment Arrangements:</w:t>
            </w:r>
          </w:p>
          <w:p w:rsidR="00476733" w:rsidRDefault="00476733" w:rsidP="00C455B6">
            <w:pPr>
              <w:ind w:left="720" w:hanging="720"/>
              <w:rPr>
                <w:rFonts w:cs="Arial"/>
              </w:rPr>
            </w:pPr>
          </w:p>
          <w:p w:rsidR="00476733" w:rsidRDefault="00476733" w:rsidP="00C455B6">
            <w:pPr>
              <w:ind w:left="1440" w:hanging="720"/>
              <w:rPr>
                <w:rFonts w:cs="Arial"/>
              </w:rPr>
            </w:pPr>
            <w:r>
              <w:rPr>
                <w:rFonts w:cs="Arial"/>
              </w:rPr>
              <w:t>1.</w:t>
            </w:r>
            <w:r>
              <w:rPr>
                <w:rFonts w:cs="Arial"/>
              </w:rPr>
              <w:tab/>
              <w:t>Reduce the general rate from 7</w:t>
            </w:r>
            <w:r>
              <w:t>.286</w:t>
            </w:r>
            <w:r>
              <w:rPr>
                <w:rFonts w:cs="Arial"/>
              </w:rPr>
              <w:t>¢ to 7.250¢ in the $ and the minimum payment from $1,287 to $1,281.</w:t>
            </w:r>
          </w:p>
          <w:p w:rsidR="00476733" w:rsidRDefault="00476733" w:rsidP="00C455B6">
            <w:pPr>
              <w:ind w:left="1440" w:hanging="720"/>
              <w:rPr>
                <w:rFonts w:cs="Arial"/>
              </w:rPr>
            </w:pPr>
          </w:p>
          <w:p w:rsidR="00476733" w:rsidRPr="00686D3E" w:rsidRDefault="00476733" w:rsidP="00C455B6">
            <w:pPr>
              <w:ind w:left="1440" w:hanging="720"/>
              <w:rPr>
                <w:rFonts w:cs="Arial"/>
              </w:rPr>
            </w:pPr>
            <w:r w:rsidRPr="00686D3E">
              <w:rPr>
                <w:rFonts w:cs="Arial"/>
              </w:rPr>
              <w:t>2.</w:t>
            </w:r>
            <w:r w:rsidRPr="00686D3E">
              <w:rPr>
                <w:rFonts w:cs="Arial"/>
              </w:rPr>
              <w:tab/>
              <w:t xml:space="preserve">Reduce the rates concession from 2.699¢ to 2.685¢ in the $, being applied to </w:t>
            </w:r>
            <w:proofErr w:type="spellStart"/>
            <w:r w:rsidRPr="00686D3E">
              <w:rPr>
                <w:rFonts w:cs="Arial"/>
              </w:rPr>
              <w:t>GRV</w:t>
            </w:r>
            <w:proofErr w:type="spellEnd"/>
            <w:r w:rsidRPr="00686D3E">
              <w:rPr>
                <w:rFonts w:cs="Arial"/>
              </w:rPr>
              <w:t xml:space="preserve"> value over and above $20,690</w:t>
            </w:r>
            <w:r>
              <w:rPr>
                <w:rFonts w:cs="Arial"/>
              </w:rPr>
              <w:t>.</w:t>
            </w:r>
          </w:p>
          <w:p w:rsidR="00476733" w:rsidRDefault="00476733" w:rsidP="00C455B6"/>
          <w:p w:rsidR="00476733" w:rsidRDefault="00476733">
            <w:pPr>
              <w:tabs>
                <w:tab w:val="left" w:pos="720"/>
                <w:tab w:val="left" w:pos="1440"/>
              </w:tabs>
              <w:jc w:val="right"/>
              <w:rPr>
                <w:b/>
                <w:bCs/>
                <w:u w:val="single"/>
              </w:rPr>
            </w:pPr>
            <w:r w:rsidRPr="00A860EE">
              <w:rPr>
                <w:b/>
                <w:bCs/>
                <w:noProof/>
                <w:u w:val="single"/>
              </w:rPr>
              <w:t>CARRIED BY ABSOLUTE MAJORITY OF COUNCIL</w:t>
            </w:r>
            <w:r>
              <w:rPr>
                <w:b/>
                <w:bCs/>
                <w:noProof/>
                <w:u w:val="single"/>
              </w:rPr>
              <w:t xml:space="preserve"> </w:t>
            </w:r>
            <w:r w:rsidRPr="00A860EE">
              <w:rPr>
                <w:b/>
                <w:bCs/>
                <w:noProof/>
                <w:u w:val="single"/>
              </w:rPr>
              <w:t>8/0</w:t>
            </w:r>
          </w:p>
          <w:p w:rsidR="00476733" w:rsidRDefault="00476733">
            <w:pPr>
              <w:pStyle w:val="CommentText"/>
              <w:tabs>
                <w:tab w:val="left" w:pos="720"/>
                <w:tab w:val="left" w:pos="1440"/>
              </w:tabs>
              <w:rPr>
                <w:bCs/>
              </w:rPr>
            </w:pPr>
          </w:p>
        </w:tc>
      </w:tr>
    </w:tbl>
    <w:p w:rsidR="00476733" w:rsidRDefault="00476733">
      <w:pPr>
        <w:tabs>
          <w:tab w:val="left" w:pos="720"/>
          <w:tab w:val="left" w:pos="1440"/>
        </w:tabs>
        <w:ind w:left="1440"/>
      </w:pPr>
    </w:p>
    <w:p w:rsidR="00476733" w:rsidRDefault="00476733" w:rsidP="00C455B6">
      <w:pPr>
        <w:rPr>
          <w:color w:val="000000"/>
        </w:rPr>
      </w:pPr>
      <w:r>
        <w:rPr>
          <w:b/>
          <w:bCs/>
        </w:rPr>
        <w:fldChar w:fldCharType="begin"/>
      </w:r>
      <w:r>
        <w:rPr>
          <w:b/>
          <w:bCs/>
        </w:rPr>
        <w:instrText xml:space="preserve"> IF </w:instrText>
      </w:r>
      <w:r>
        <w:rPr>
          <w:b/>
          <w:bCs/>
        </w:rPr>
        <w:fldChar w:fldCharType="begin"/>
      </w:r>
      <w:r>
        <w:rPr>
          <w:b/>
          <w:bCs/>
        </w:rPr>
        <w:instrText xml:space="preserve"> INCLUDETEXT Z:\\Users\\bernie\\AppData\\Local\\Temp\\bernie\\13577.docx </w:instrText>
      </w:r>
      <w:r>
        <w:rPr>
          <w:b/>
          <w:bCs/>
        </w:rPr>
        <w:fldChar w:fldCharType="separate"/>
      </w:r>
      <w:r>
        <w:rPr>
          <w:color w:val="000000"/>
        </w:rPr>
        <w:instrText>By reducing the proposed rate increase from 3% to 2.5%</w:instrText>
      </w:r>
      <w:r>
        <w:rPr>
          <w:color w:val="1F497D"/>
        </w:rPr>
        <w:instrText xml:space="preserve"> </w:instrText>
      </w:r>
      <w:r w:rsidRPr="00137C32">
        <w:rPr>
          <w:color w:val="000000"/>
        </w:rPr>
        <w:instrText>for Improved Residential properties</w:instrText>
      </w:r>
      <w:r>
        <w:rPr>
          <w:color w:val="000000"/>
        </w:rPr>
        <w:instrText>, Council is noting the financial circumstances of the community, taking into account lower inflation, lower economic growth prospects in the State of WA. The aim of the budget is to provide the best possible level of service for the lowest affordable, taking into account the need to balance the budget. With a 2.5% increase for residential improved properties, I believe the Council can achieve these required outcomes. The budget trimming nominated will not impact the delivery of services to the community.</w:instrText>
      </w:r>
    </w:p>
    <w:p w:rsidR="00476733" w:rsidRDefault="00476733">
      <w:pPr>
        <w:tabs>
          <w:tab w:val="left" w:pos="1418"/>
        </w:tabs>
        <w:ind w:left="1418"/>
        <w:rPr>
          <w:b/>
          <w:bCs/>
        </w:rPr>
      </w:pPr>
      <w:r>
        <w:rPr>
          <w:b/>
          <w:bCs/>
        </w:rPr>
        <w:fldChar w:fldCharType="end"/>
      </w:r>
      <w:r>
        <w:rPr>
          <w:b/>
          <w:bCs/>
        </w:rPr>
        <w:instrText>&lt;&gt; "" "Reason for Decision</w:instrText>
      </w:r>
    </w:p>
    <w:p w:rsidR="000D3B8F" w:rsidRDefault="00476733">
      <w:pPr>
        <w:tabs>
          <w:tab w:val="left" w:pos="1418"/>
        </w:tabs>
        <w:ind w:left="1418"/>
        <w:rPr>
          <w:b/>
          <w:bCs/>
          <w:noProof/>
        </w:rPr>
      </w:pPr>
      <w:r>
        <w:rPr>
          <w:b/>
          <w:bCs/>
        </w:rPr>
        <w:instrText xml:space="preserve">" "" </w:instrText>
      </w:r>
      <w:r>
        <w:rPr>
          <w:b/>
          <w:bCs/>
        </w:rPr>
        <w:fldChar w:fldCharType="separate"/>
      </w:r>
      <w:r w:rsidR="000D3B8F">
        <w:rPr>
          <w:b/>
          <w:bCs/>
          <w:noProof/>
        </w:rPr>
        <w:t>Reason for Decision</w:t>
      </w:r>
    </w:p>
    <w:p w:rsidR="00476733" w:rsidRDefault="00476733">
      <w:pPr>
        <w:tabs>
          <w:tab w:val="left" w:pos="1418"/>
        </w:tabs>
        <w:ind w:left="1418"/>
        <w:rPr>
          <w:b/>
          <w:bCs/>
        </w:rPr>
      </w:pPr>
      <w:r>
        <w:rPr>
          <w:b/>
          <w:bCs/>
        </w:rPr>
        <w:fldChar w:fldCharType="end"/>
      </w:r>
    </w:p>
    <w:tbl>
      <w:tblPr>
        <w:tblW w:w="0" w:type="auto"/>
        <w:tblInd w:w="1457" w:type="dxa"/>
        <w:tblLook w:val="01E0" w:firstRow="1" w:lastRow="1" w:firstColumn="1" w:lastColumn="1" w:noHBand="0" w:noVBand="0"/>
      </w:tblPr>
      <w:tblGrid>
        <w:gridCol w:w="7786"/>
      </w:tblGrid>
      <w:tr w:rsidR="00476733" w:rsidTr="00C455B6">
        <w:tc>
          <w:tcPr>
            <w:tcW w:w="8522" w:type="dxa"/>
          </w:tcPr>
          <w:p w:rsidR="00476733" w:rsidRDefault="00476733" w:rsidP="00C455B6">
            <w:pPr>
              <w:rPr>
                <w:color w:val="000000"/>
              </w:rPr>
            </w:pPr>
            <w:r>
              <w:rPr>
                <w:color w:val="000000"/>
              </w:rPr>
              <w:t>By reducing the proposed rate increase from 3% to 2.5%</w:t>
            </w:r>
            <w:r>
              <w:rPr>
                <w:color w:val="1F497D"/>
              </w:rPr>
              <w:t xml:space="preserve"> </w:t>
            </w:r>
            <w:r w:rsidRPr="00137C32">
              <w:rPr>
                <w:color w:val="000000"/>
              </w:rPr>
              <w:t>for Improved Residential properties</w:t>
            </w:r>
            <w:r>
              <w:rPr>
                <w:color w:val="000000"/>
              </w:rPr>
              <w:t>, Council is noting the financial circumstances of the community, taking into account lower inflation</w:t>
            </w:r>
            <w:r w:rsidR="000D3B8F">
              <w:rPr>
                <w:color w:val="000000"/>
              </w:rPr>
              <w:t xml:space="preserve"> and</w:t>
            </w:r>
            <w:r>
              <w:rPr>
                <w:color w:val="000000"/>
              </w:rPr>
              <w:t xml:space="preserve"> lower economic </w:t>
            </w:r>
            <w:r>
              <w:rPr>
                <w:color w:val="000000"/>
              </w:rPr>
              <w:lastRenderedPageBreak/>
              <w:t>growth prospects in the State of WA. The aim of the budget is to provide the best possible level of service for the lowest affordable</w:t>
            </w:r>
            <w:r w:rsidR="000D3B8F">
              <w:rPr>
                <w:color w:val="000000"/>
              </w:rPr>
              <w:t xml:space="preserve"> cost</w:t>
            </w:r>
            <w:r>
              <w:rPr>
                <w:color w:val="000000"/>
              </w:rPr>
              <w:t>, taking into account the need to balance the budget. With a 2.5% increase for residential improved properties, Council can achieve these required outcomes. The budget trimming nominated will not impact the delivery of services to the community.</w:t>
            </w:r>
          </w:p>
          <w:p w:rsidR="00476733" w:rsidRDefault="00476733" w:rsidP="00C455B6">
            <w:pPr>
              <w:tabs>
                <w:tab w:val="left" w:pos="1418"/>
                <w:tab w:val="left" w:pos="4710"/>
              </w:tabs>
            </w:pPr>
          </w:p>
        </w:tc>
      </w:tr>
    </w:tbl>
    <w:p w:rsidR="00476733" w:rsidRDefault="00017A3E">
      <w:pPr>
        <w:pStyle w:val="AGHEAD1"/>
      </w:pPr>
      <w:fldSimple w:instr=" MERGEFIELD Item_No ">
        <w:bookmarkStart w:id="31" w:name="_Toc454780268"/>
        <w:r w:rsidR="00476733" w:rsidRPr="00961766">
          <w:rPr>
            <w:noProof/>
          </w:rPr>
          <w:t>10</w:t>
        </w:r>
      </w:fldSimple>
      <w:r w:rsidR="00476733">
        <w:t>.</w:t>
      </w:r>
      <w:r w:rsidR="00476733">
        <w:tab/>
      </w:r>
      <w:r w:rsidR="00476733">
        <w:rPr>
          <w:sz w:val="28"/>
          <w:u w:val="single"/>
        </w:rPr>
        <w:fldChar w:fldCharType="begin"/>
      </w:r>
      <w:r w:rsidR="00476733">
        <w:rPr>
          <w:sz w:val="28"/>
          <w:u w:val="single"/>
        </w:rPr>
        <w:instrText xml:space="preserve"> IF </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sidRPr="00961766">
        <w:rPr>
          <w:noProof/>
          <w:sz w:val="28"/>
          <w:u w:val="single"/>
        </w:rPr>
        <w:instrText>5830</w:instrText>
      </w:r>
      <w:r w:rsidR="00476733">
        <w:rPr>
          <w:sz w:val="28"/>
          <w:u w:val="single"/>
        </w:rPr>
        <w:fldChar w:fldCharType="end"/>
      </w:r>
      <w:r w:rsidR="00476733">
        <w:rPr>
          <w:sz w:val="28"/>
          <w:u w:val="single"/>
        </w:rPr>
        <w:instrText xml:space="preserve">&lt;&gt; "" "(Minute No " "" \* Upper  </w:instrText>
      </w:r>
      <w:r w:rsidR="00476733">
        <w:rPr>
          <w:sz w:val="28"/>
          <w:u w:val="single"/>
        </w:rPr>
        <w:fldChar w:fldCharType="separate"/>
      </w:r>
      <w:r w:rsidR="000D3B8F">
        <w:rPr>
          <w:noProof/>
          <w:sz w:val="28"/>
          <w:u w:val="single"/>
        </w:rPr>
        <w:t xml:space="preserve">(MINUTE NO </w:t>
      </w:r>
      <w:r w:rsidR="00476733">
        <w:rPr>
          <w:sz w:val="28"/>
          <w:u w:val="single"/>
        </w:rPr>
        <w:fldChar w:fldCharType="end"/>
      </w:r>
      <w:r w:rsidR="00476733">
        <w:rPr>
          <w:sz w:val="28"/>
          <w:u w:val="single"/>
        </w:rPr>
        <w:fldChar w:fldCharType="begin"/>
      </w:r>
      <w:r w:rsidR="00476733">
        <w:rPr>
          <w:sz w:val="28"/>
          <w:u w:val="single"/>
        </w:rPr>
        <w:instrText xml:space="preserve"> IF </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sidRPr="00961766">
        <w:rPr>
          <w:noProof/>
          <w:sz w:val="28"/>
          <w:u w:val="single"/>
        </w:rPr>
        <w:instrText>5830</w:instrText>
      </w:r>
      <w:r w:rsidR="00476733">
        <w:rPr>
          <w:sz w:val="28"/>
          <w:u w:val="single"/>
        </w:rPr>
        <w:fldChar w:fldCharType="end"/>
      </w:r>
      <w:r w:rsidR="00476733">
        <w:rPr>
          <w:sz w:val="28"/>
          <w:u w:val="single"/>
        </w:rPr>
        <w:instrText>&lt;&gt; "" "</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sidRPr="00961766">
        <w:rPr>
          <w:noProof/>
          <w:sz w:val="28"/>
          <w:u w:val="single"/>
        </w:rPr>
        <w:instrText>5830</w:instrText>
      </w:r>
      <w:r w:rsidR="00476733">
        <w:rPr>
          <w:sz w:val="28"/>
          <w:u w:val="single"/>
        </w:rPr>
        <w:fldChar w:fldCharType="end"/>
      </w:r>
      <w:r w:rsidR="00476733">
        <w:rPr>
          <w:sz w:val="28"/>
          <w:u w:val="single"/>
        </w:rPr>
        <w:instrText xml:space="preserve">" "" </w:instrText>
      </w:r>
      <w:r w:rsidR="00476733">
        <w:rPr>
          <w:sz w:val="28"/>
          <w:u w:val="single"/>
        </w:rPr>
        <w:fldChar w:fldCharType="separate"/>
      </w:r>
      <w:r w:rsidR="00476733" w:rsidRPr="00961766">
        <w:rPr>
          <w:noProof/>
          <w:sz w:val="28"/>
          <w:u w:val="single"/>
        </w:rPr>
        <w:t>5830</w:t>
      </w:r>
      <w:r w:rsidR="00476733">
        <w:rPr>
          <w:sz w:val="28"/>
          <w:u w:val="single"/>
        </w:rPr>
        <w:fldChar w:fldCharType="end"/>
      </w:r>
      <w:r w:rsidR="00476733">
        <w:rPr>
          <w:sz w:val="28"/>
          <w:u w:val="single"/>
        </w:rPr>
        <w:fldChar w:fldCharType="begin"/>
      </w:r>
      <w:r w:rsidR="00476733">
        <w:rPr>
          <w:sz w:val="28"/>
          <w:u w:val="single"/>
        </w:rPr>
        <w:instrText xml:space="preserve"> IF </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sidRPr="00961766">
        <w:rPr>
          <w:noProof/>
          <w:sz w:val="28"/>
          <w:u w:val="single"/>
        </w:rPr>
        <w:instrText>5830</w:instrText>
      </w:r>
      <w:r w:rsidR="00476733">
        <w:rPr>
          <w:sz w:val="28"/>
          <w:u w:val="single"/>
        </w:rPr>
        <w:fldChar w:fldCharType="end"/>
      </w:r>
      <w:r w:rsidR="00476733">
        <w:rPr>
          <w:sz w:val="28"/>
          <w:u w:val="single"/>
        </w:rPr>
        <w:instrText xml:space="preserve">&lt;&gt; "" ")" "" </w:instrText>
      </w:r>
      <w:r w:rsidR="00476733">
        <w:rPr>
          <w:sz w:val="28"/>
          <w:u w:val="single"/>
        </w:rPr>
        <w:fldChar w:fldCharType="separate"/>
      </w:r>
      <w:r w:rsidR="000D3B8F">
        <w:rPr>
          <w:noProof/>
          <w:sz w:val="28"/>
          <w:u w:val="single"/>
        </w:rPr>
        <w:t>)</w:t>
      </w:r>
      <w:r w:rsidR="00476733">
        <w:rPr>
          <w:i/>
          <w:iCs/>
          <w:sz w:val="28"/>
          <w:u w:val="single"/>
        </w:rPr>
        <w:fldChar w:fldCharType="end"/>
      </w:r>
      <w:r w:rsidR="00476733">
        <w:rPr>
          <w:sz w:val="28"/>
        </w:rPr>
        <w:fldChar w:fldCharType="begin"/>
      </w:r>
      <w:r w:rsidR="00476733">
        <w:rPr>
          <w:sz w:val="28"/>
        </w:rPr>
        <w:instrText xml:space="preserve"> IF </w:instrText>
      </w:r>
      <w:r w:rsidR="00476733">
        <w:rPr>
          <w:sz w:val="28"/>
        </w:rPr>
        <w:fldChar w:fldCharType="begin"/>
      </w:r>
      <w:r w:rsidR="00476733">
        <w:rPr>
          <w:sz w:val="28"/>
        </w:rPr>
        <w:instrText xml:space="preserve"> MERGEFIELD Minute_No_1 </w:instrText>
      </w:r>
      <w:r w:rsidR="00476733">
        <w:rPr>
          <w:sz w:val="28"/>
        </w:rPr>
        <w:fldChar w:fldCharType="separate"/>
      </w:r>
      <w:r w:rsidR="00476733" w:rsidRPr="00961766">
        <w:rPr>
          <w:noProof/>
          <w:sz w:val="28"/>
        </w:rPr>
        <w:instrText>5830</w:instrText>
      </w:r>
      <w:r w:rsidR="00476733">
        <w:rPr>
          <w:sz w:val="28"/>
        </w:rPr>
        <w:fldChar w:fldCharType="end"/>
      </w:r>
      <w:r w:rsidR="00476733">
        <w:rPr>
          <w:sz w:val="28"/>
        </w:rPr>
        <w:instrText xml:space="preserve">&lt;&gt; "" " " "" </w:instrText>
      </w:r>
      <w:r w:rsidR="00476733">
        <w:rPr>
          <w:sz w:val="28"/>
        </w:rPr>
        <w:fldChar w:fldCharType="separate"/>
      </w:r>
      <w:r w:rsidR="000D3B8F">
        <w:rPr>
          <w:noProof/>
          <w:sz w:val="28"/>
        </w:rPr>
        <w:t xml:space="preserve"> </w:t>
      </w:r>
      <w:r w:rsidR="00476733">
        <w:rPr>
          <w:i/>
          <w:iCs/>
          <w:sz w:val="28"/>
        </w:rPr>
        <w:fldChar w:fldCharType="end"/>
      </w:r>
      <w:r w:rsidR="00476733">
        <w:t>(</w:t>
      </w:r>
      <w:fldSimple w:instr=" MERGEFIELD Meeting_Alternate \* Upper ">
        <w:r w:rsidR="00476733" w:rsidRPr="00961766">
          <w:rPr>
            <w:noProof/>
          </w:rPr>
          <w:t>SCM 23/06/2016</w:t>
        </w:r>
      </w:fldSimple>
      <w:r w:rsidR="00476733">
        <w:t xml:space="preserve">) - </w:t>
      </w:r>
      <w:fldSimple w:instr=" MERGEFIELD Subject  \* UPPER ">
        <w:r w:rsidR="00476733" w:rsidRPr="00961766">
          <w:rPr>
            <w:noProof/>
          </w:rPr>
          <w:t>RESOLUTION OF COMPLIANCE (SECTION 3.18(3), LOCAL GOVERNMENT ACT 1995)</w:t>
        </w:r>
        <w:bookmarkEnd w:id="31"/>
      </w:fldSimple>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476733">
        <w:tc>
          <w:tcPr>
            <w:tcW w:w="8280" w:type="dxa"/>
          </w:tcPr>
          <w:p w:rsidR="00476733" w:rsidRDefault="00476733">
            <w:pPr>
              <w:tabs>
                <w:tab w:val="left" w:pos="720"/>
                <w:tab w:val="left" w:pos="1440"/>
              </w:tabs>
            </w:pPr>
            <w:r>
              <w:rPr>
                <w:b/>
              </w:rPr>
              <w:t>RECOMMENDATION</w:t>
            </w:r>
          </w:p>
          <w:p w:rsidR="00476733" w:rsidRDefault="00476733">
            <w:r>
              <w:t>That Council is satisfied that resolutions carried at this Meeting and applicable to items concerning Council provided services and facilities, are:-</w:t>
            </w:r>
          </w:p>
          <w:p w:rsidR="00476733" w:rsidRDefault="00476733">
            <w:pPr>
              <w:ind w:left="720"/>
            </w:pPr>
          </w:p>
          <w:p w:rsidR="00476733" w:rsidRDefault="00476733">
            <w:pPr>
              <w:ind w:left="720" w:hanging="720"/>
            </w:pPr>
            <w:r>
              <w:t>(1)</w:t>
            </w:r>
            <w:r>
              <w:tab/>
              <w:t>integrated and co-ordinated, so far as practicable, with any provided by the Commonwealth, the State or any public body;</w:t>
            </w:r>
          </w:p>
          <w:p w:rsidR="00476733" w:rsidRDefault="00476733">
            <w:pPr>
              <w:ind w:left="1404" w:hanging="720"/>
            </w:pPr>
          </w:p>
          <w:p w:rsidR="00476733" w:rsidRDefault="00476733">
            <w:pPr>
              <w:ind w:left="720" w:hanging="720"/>
            </w:pPr>
            <w:r>
              <w:t>(2)</w:t>
            </w:r>
            <w:r>
              <w:tab/>
              <w:t>not duplicated, to an extent Council considers inappropriate, services or facilities as provided by the Commonwealth, the State or any other body or person, whether public or private;  and</w:t>
            </w:r>
          </w:p>
          <w:p w:rsidR="00476733" w:rsidRDefault="00476733">
            <w:pPr>
              <w:ind w:left="1404" w:hanging="720"/>
            </w:pPr>
          </w:p>
          <w:p w:rsidR="00476733" w:rsidRDefault="00476733">
            <w:pPr>
              <w:ind w:left="720" w:hanging="720"/>
            </w:pPr>
            <w:r>
              <w:t>(3)</w:t>
            </w:r>
            <w:r>
              <w:tab/>
            </w:r>
            <w:proofErr w:type="gramStart"/>
            <w:r>
              <w:t>managed</w:t>
            </w:r>
            <w:proofErr w:type="gramEnd"/>
            <w:r>
              <w:t xml:space="preserve"> efficiently and effectively.</w:t>
            </w:r>
          </w:p>
          <w:p w:rsidR="00476733" w:rsidRDefault="00476733">
            <w:pPr>
              <w:pStyle w:val="CommentText"/>
              <w:tabs>
                <w:tab w:val="left" w:pos="720"/>
                <w:tab w:val="left" w:pos="1440"/>
              </w:tabs>
              <w:rPr>
                <w:bCs/>
              </w:rPr>
            </w:pPr>
          </w:p>
        </w:tc>
      </w:tr>
    </w:tbl>
    <w:p w:rsidR="00476733" w:rsidRDefault="00476733">
      <w:pPr>
        <w:tabs>
          <w:tab w:val="left" w:pos="720"/>
          <w:tab w:val="left" w:pos="1440"/>
        </w:tabs>
        <w:ind w:left="1440"/>
      </w:pPr>
    </w:p>
    <w:p w:rsidR="00476733" w:rsidRDefault="00476733">
      <w:pPr>
        <w:tabs>
          <w:tab w:val="left" w:pos="720"/>
          <w:tab w:val="left" w:pos="1440"/>
        </w:tabs>
        <w:ind w:left="1440"/>
      </w:pPr>
    </w:p>
    <w:tbl>
      <w:tblPr>
        <w:tblW w:w="0" w:type="auto"/>
        <w:tblInd w:w="82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80"/>
      </w:tblGrid>
      <w:tr w:rsidR="00476733">
        <w:tc>
          <w:tcPr>
            <w:tcW w:w="8280" w:type="dxa"/>
          </w:tcPr>
          <w:p w:rsidR="00476733" w:rsidRDefault="00476733">
            <w:pPr>
              <w:tabs>
                <w:tab w:val="left" w:pos="720"/>
                <w:tab w:val="left" w:pos="1440"/>
              </w:tabs>
            </w:pPr>
            <w:r>
              <w:rPr>
                <w:b/>
              </w:rPr>
              <w:t>COUNCIL DECISION</w:t>
            </w:r>
          </w:p>
          <w:p w:rsidR="00476733" w:rsidRDefault="00476733">
            <w:pPr>
              <w:tabs>
                <w:tab w:val="left" w:pos="720"/>
                <w:tab w:val="left" w:pos="1440"/>
              </w:tabs>
            </w:pPr>
            <w:r>
              <w:fldChar w:fldCharType="begin"/>
            </w:r>
            <w:r>
              <w:instrText xml:space="preserve"> IF </w:instrText>
            </w:r>
            <w:fldSimple w:instr=" MERGEFIELD Moved_By_1 ">
              <w:r w:rsidRPr="00961766">
                <w:rPr>
                  <w:noProof/>
                </w:rPr>
                <w:instrText>S PORTELLI</w:instrText>
              </w:r>
            </w:fldSimple>
            <w:r>
              <w:instrText xml:space="preserve">&lt;&gt; "" "MOVED " "" </w:instrText>
            </w:r>
            <w:r>
              <w:fldChar w:fldCharType="separate"/>
            </w:r>
            <w:r w:rsidR="000D3B8F">
              <w:rPr>
                <w:noProof/>
              </w:rPr>
              <w:t xml:space="preserve">MOVED </w:t>
            </w:r>
            <w:r>
              <w:fldChar w:fldCharType="end"/>
            </w:r>
            <w:fldSimple w:instr=" MERGEFIELD Moved_By_Title_1 ">
              <w:r w:rsidRPr="00961766">
                <w:rPr>
                  <w:noProof/>
                </w:rPr>
                <w:t>Clr</w:t>
              </w:r>
            </w:fldSimple>
            <w:r>
              <w:t xml:space="preserve"> </w:t>
            </w:r>
            <w:fldSimple w:instr=" MERGEFIELD Moved_By_1 \* Caps ">
              <w:r w:rsidRPr="00961766">
                <w:rPr>
                  <w:noProof/>
                </w:rPr>
                <w:t>S Portelli</w:t>
              </w:r>
            </w:fldSimple>
            <w:r>
              <w:t xml:space="preserve"> </w:t>
            </w:r>
            <w:r>
              <w:fldChar w:fldCharType="begin"/>
            </w:r>
            <w:r>
              <w:instrText xml:space="preserve"> IF </w:instrText>
            </w:r>
            <w:fldSimple w:instr=" MERGEFIELD Seconded_By_1 ">
              <w:r w:rsidRPr="00961766">
                <w:rPr>
                  <w:noProof/>
                </w:rPr>
                <w:instrText>C REEVE-FOWKES</w:instrText>
              </w:r>
            </w:fldSimple>
            <w:r>
              <w:instrText xml:space="preserve">&lt;&gt; "" "SECONDED " "" </w:instrText>
            </w:r>
            <w:r>
              <w:fldChar w:fldCharType="separate"/>
            </w:r>
            <w:r w:rsidR="000D3B8F">
              <w:rPr>
                <w:noProof/>
              </w:rPr>
              <w:t xml:space="preserve">SECONDED </w:t>
            </w:r>
            <w:r>
              <w:fldChar w:fldCharType="end"/>
            </w:r>
            <w:fldSimple w:instr=" MERGEFIELD Seconded_By_Title_1 ">
              <w:r w:rsidRPr="00961766">
                <w:rPr>
                  <w:noProof/>
                </w:rPr>
                <w:t>Deputy Mayor</w:t>
              </w:r>
            </w:fldSimple>
            <w:r>
              <w:t xml:space="preserve"> </w:t>
            </w:r>
            <w:fldSimple w:instr=" MERGEFIELD Seconded_By_1 \* Caps ">
              <w:r w:rsidRPr="00961766">
                <w:rPr>
                  <w:noProof/>
                </w:rPr>
                <w:t>C Reeve-Fowkes</w:t>
              </w:r>
            </w:fldSimple>
            <w:r>
              <w:fldChar w:fldCharType="begin"/>
            </w:r>
            <w:r>
              <w:instrText xml:space="preserve"> IF </w:instrText>
            </w:r>
            <w:fldSimple w:instr=" MERGEFIELD Resolution_1 ">
              <w:r w:rsidRPr="00961766">
                <w:rPr>
                  <w:noProof/>
                </w:rPr>
                <w:instrText>the recommendation be adopted.</w:instrText>
              </w:r>
            </w:fldSimple>
            <w:r>
              <w:instrText xml:space="preserve">&lt;&gt; "" " that the recommendation be adopted." "" \* lower </w:instrText>
            </w:r>
            <w:r>
              <w:fldChar w:fldCharType="separate"/>
            </w:r>
            <w:r w:rsidR="000D3B8F">
              <w:rPr>
                <w:noProof/>
              </w:rPr>
              <w:t xml:space="preserve"> that the recommendation be adopted.</w:t>
            </w:r>
            <w:r>
              <w:fldChar w:fldCharType="end"/>
            </w:r>
          </w:p>
          <w:p w:rsidR="00476733" w:rsidRDefault="00476733">
            <w:pPr>
              <w:tabs>
                <w:tab w:val="left" w:pos="720"/>
                <w:tab w:val="left" w:pos="1440"/>
              </w:tabs>
            </w:pPr>
          </w:p>
          <w:p w:rsidR="00476733" w:rsidRDefault="00476733">
            <w:pPr>
              <w:tabs>
                <w:tab w:val="left" w:pos="720"/>
                <w:tab w:val="left" w:pos="1440"/>
              </w:tabs>
              <w:jc w:val="right"/>
              <w:rPr>
                <w:b/>
                <w:bCs/>
                <w:u w:val="single"/>
              </w:rPr>
            </w:pPr>
            <w:r>
              <w:rPr>
                <w:b/>
                <w:bCs/>
                <w:u w:val="single"/>
              </w:rPr>
              <w:fldChar w:fldCharType="begin"/>
            </w:r>
            <w:r>
              <w:rPr>
                <w:b/>
                <w:bCs/>
                <w:u w:val="single"/>
              </w:rPr>
              <w:instrText xml:space="preserve"> MERGEFIELD Vote_Result_1 \* Upper </w:instrText>
            </w:r>
            <w:r>
              <w:rPr>
                <w:b/>
                <w:bCs/>
                <w:u w:val="single"/>
              </w:rPr>
              <w:fldChar w:fldCharType="separate"/>
            </w:r>
            <w:r w:rsidRPr="00961766">
              <w:rPr>
                <w:b/>
                <w:bCs/>
                <w:noProof/>
                <w:u w:val="single"/>
              </w:rPr>
              <w:t>CARRIED</w:t>
            </w:r>
            <w:r>
              <w:rPr>
                <w:b/>
                <w:bCs/>
                <w:u w:val="single"/>
              </w:rPr>
              <w:fldChar w:fldCharType="end"/>
            </w:r>
            <w:r>
              <w:rPr>
                <w:b/>
                <w:bCs/>
                <w:u w:val="single"/>
              </w:rPr>
              <w:t xml:space="preserve"> </w:t>
            </w:r>
            <w:r>
              <w:rPr>
                <w:b/>
                <w:bCs/>
                <w:u w:val="single"/>
              </w:rPr>
              <w:fldChar w:fldCharType="begin"/>
            </w:r>
            <w:r>
              <w:rPr>
                <w:b/>
                <w:bCs/>
                <w:u w:val="single"/>
              </w:rPr>
              <w:instrText xml:space="preserve"> MERGEFIELD Vote_Count_1 </w:instrText>
            </w:r>
            <w:r>
              <w:rPr>
                <w:b/>
                <w:bCs/>
                <w:u w:val="single"/>
              </w:rPr>
              <w:fldChar w:fldCharType="separate"/>
            </w:r>
            <w:r w:rsidRPr="00961766">
              <w:rPr>
                <w:b/>
                <w:bCs/>
                <w:noProof/>
                <w:u w:val="single"/>
              </w:rPr>
              <w:t>8/0</w:t>
            </w:r>
            <w:r>
              <w:rPr>
                <w:b/>
                <w:bCs/>
                <w:u w:val="single"/>
              </w:rPr>
              <w:fldChar w:fldCharType="end"/>
            </w:r>
          </w:p>
          <w:p w:rsidR="00476733" w:rsidRDefault="00476733">
            <w:pPr>
              <w:pStyle w:val="CommentText"/>
              <w:tabs>
                <w:tab w:val="left" w:pos="720"/>
                <w:tab w:val="left" w:pos="1440"/>
              </w:tabs>
              <w:jc w:val="right"/>
              <w:rPr>
                <w:bCs/>
              </w:rPr>
            </w:pPr>
          </w:p>
        </w:tc>
      </w:tr>
    </w:tbl>
    <w:p w:rsidR="00476733" w:rsidRDefault="00017A3E">
      <w:pPr>
        <w:pStyle w:val="AGHEAD1"/>
      </w:pPr>
      <w:fldSimple w:instr=" MERGEFIELD Item_No ">
        <w:bookmarkStart w:id="32" w:name="_Toc454780269"/>
        <w:r w:rsidR="00476733" w:rsidRPr="00C52BD2">
          <w:rPr>
            <w:noProof/>
          </w:rPr>
          <w:t>11</w:t>
        </w:r>
      </w:fldSimple>
      <w:r w:rsidR="00476733">
        <w:tab/>
      </w:r>
      <w:r w:rsidR="00476733">
        <w:fldChar w:fldCharType="begin"/>
      </w:r>
      <w:r w:rsidR="00476733">
        <w:instrText xml:space="preserve"> IF </w:instrText>
      </w:r>
      <w:r w:rsidR="00476733">
        <w:fldChar w:fldCharType="begin"/>
      </w:r>
      <w:r w:rsidR="00476733">
        <w:instrText xml:space="preserve"> MERGEFIELD Insert_before_Item_No </w:instrText>
      </w:r>
      <w:r w:rsidR="00476733">
        <w:fldChar w:fldCharType="end"/>
      </w:r>
      <w:r w:rsidR="00476733">
        <w:instrText>= "" "</w:instrText>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&lt;&gt; "" "</w:instrText>
      </w:r>
      <w:r w:rsidR="00476733">
        <w:rPr>
          <w:sz w:val="28"/>
          <w:u w:val="single"/>
        </w:rPr>
        <w:instrText>(MINUTE NO</w:instrText>
      </w:r>
      <w:r w:rsidR="00476733">
        <w:rPr>
          <w:u w:val="single"/>
        </w:rPr>
        <w:instrText xml:space="preserve"> </w:instrText>
      </w:r>
      <w:r w:rsidR="00476733">
        <w:instrText xml:space="preserve">" "" \* Upper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 xml:space="preserve">&lt;&gt; "" </w:instrText>
      </w:r>
      <w:r w:rsidR="00476733">
        <w:rPr>
          <w:b w:val="0"/>
          <w:bCs/>
        </w:rPr>
        <w:instrText>"</w:instrText>
      </w:r>
      <w:r w:rsidR="00476733">
        <w:rPr>
          <w:sz w:val="28"/>
          <w:u w:val="single"/>
        </w:rPr>
        <w:fldChar w:fldCharType="begin"/>
      </w:r>
      <w:r w:rsidR="00476733">
        <w:rPr>
          <w:sz w:val="28"/>
          <w:u w:val="single"/>
        </w:rPr>
        <w:instrText xml:space="preserve"> MERGEFIELD Minute_No_1 </w:instrText>
      </w:r>
      <w:r w:rsidR="00476733">
        <w:rPr>
          <w:sz w:val="28"/>
          <w:u w:val="single"/>
        </w:rPr>
        <w:fldChar w:fldCharType="separate"/>
      </w:r>
      <w:r w:rsidR="00476733">
        <w:rPr>
          <w:sz w:val="28"/>
          <w:u w:val="single"/>
        </w:rPr>
        <w:instrText>1974</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Minute_No_2 </w:instrText>
      </w:r>
      <w:r w:rsidR="00476733">
        <w:fldChar w:fldCharType="end"/>
      </w:r>
      <w:r w:rsidR="00476733">
        <w:instrText xml:space="preserve">&lt;&gt; "" </w:instrText>
      </w:r>
      <w:r w:rsidR="00476733">
        <w:rPr>
          <w:b w:val="0"/>
          <w:bCs/>
        </w:rPr>
        <w:instrText>"</w:instrText>
      </w:r>
      <w:r w:rsidR="00476733">
        <w:rPr>
          <w:sz w:val="28"/>
          <w:u w:val="single"/>
        </w:rPr>
        <w:instrText xml:space="preserve">, </w:instrText>
      </w:r>
      <w:r w:rsidR="00476733">
        <w:rPr>
          <w:sz w:val="28"/>
          <w:u w:val="single"/>
        </w:rPr>
        <w:fldChar w:fldCharType="begin"/>
      </w:r>
      <w:r w:rsidR="00476733">
        <w:rPr>
          <w:sz w:val="28"/>
          <w:u w:val="single"/>
        </w:rPr>
        <w:instrText xml:space="preserve"> MERGEFIELD Minute_No_2 </w:instrText>
      </w:r>
      <w:r w:rsidR="00476733">
        <w:rPr>
          <w:sz w:val="28"/>
          <w:u w:val="single"/>
        </w:rPr>
        <w:fldChar w:fldCharType="separate"/>
      </w:r>
      <w:r w:rsidR="00476733">
        <w:rPr>
          <w:sz w:val="28"/>
          <w:u w:val="single"/>
        </w:rPr>
        <w:instrText>1993</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Minute_No_3 </w:instrText>
      </w:r>
      <w:r w:rsidR="00476733">
        <w:fldChar w:fldCharType="end"/>
      </w:r>
      <w:r w:rsidR="00476733">
        <w:instrText xml:space="preserve">&lt;&gt; "" </w:instrText>
      </w:r>
      <w:r w:rsidR="00476733">
        <w:rPr>
          <w:b w:val="0"/>
          <w:bCs/>
        </w:rPr>
        <w:instrText>"</w:instrText>
      </w:r>
      <w:r w:rsidR="00476733">
        <w:rPr>
          <w:sz w:val="28"/>
          <w:u w:val="single"/>
        </w:rPr>
        <w:instrText xml:space="preserve">, </w:instrText>
      </w:r>
      <w:r w:rsidR="00476733">
        <w:rPr>
          <w:sz w:val="28"/>
          <w:u w:val="single"/>
        </w:rPr>
        <w:fldChar w:fldCharType="begin"/>
      </w:r>
      <w:r w:rsidR="00476733">
        <w:rPr>
          <w:sz w:val="28"/>
          <w:u w:val="single"/>
        </w:rPr>
        <w:instrText xml:space="preserve"> MERGEFIELD Minute_No_3 </w:instrText>
      </w:r>
      <w:r w:rsidR="00476733">
        <w:rPr>
          <w:sz w:val="28"/>
          <w:u w:val="single"/>
        </w:rPr>
        <w:fldChar w:fldCharType="separate"/>
      </w:r>
      <w:r w:rsidR="00476733">
        <w:rPr>
          <w:sz w:val="28"/>
          <w:u w:val="single"/>
        </w:rPr>
        <w:instrText>1993</w:instrText>
      </w:r>
      <w:r w:rsidR="00476733">
        <w:rPr>
          <w:sz w:val="28"/>
          <w:u w:val="single"/>
        </w:rPr>
        <w:fldChar w:fldCharType="end"/>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&lt;&gt; "" "</w:instrText>
      </w:r>
      <w:r w:rsidR="00476733">
        <w:rPr>
          <w:u w:val="single"/>
        </w:rPr>
        <w:instrText>)</w:instrText>
      </w:r>
      <w:r w:rsidR="00476733">
        <w:instrText xml:space="preserve">" "" </w:instrText>
      </w:r>
      <w:r w:rsidR="00476733">
        <w:fldChar w:fldCharType="end"/>
      </w:r>
      <w:r w:rsidR="00476733">
        <w:fldChar w:fldCharType="begin"/>
      </w:r>
      <w:r w:rsidR="00476733">
        <w:instrText xml:space="preserve"> IF </w:instrText>
      </w:r>
      <w:r w:rsidR="00476733">
        <w:fldChar w:fldCharType="begin"/>
      </w:r>
      <w:r w:rsidR="00476733">
        <w:instrText xml:space="preserve"> MERGEFIELD Minute_No_1 </w:instrText>
      </w:r>
      <w:r w:rsidR="00476733">
        <w:fldChar w:fldCharType="end"/>
      </w:r>
      <w:r w:rsidR="00476733">
        <w:instrText xml:space="preserve">&lt;&gt; "" " " "" </w:instrText>
      </w:r>
      <w:r w:rsidR="00476733">
        <w:fldChar w:fldCharType="end"/>
      </w:r>
      <w:r w:rsidR="00476733">
        <w:instrText>(</w:instrText>
      </w:r>
      <w:fldSimple w:instr=" MERGEFIELD Meeting_Alternate \* Upper ">
        <w:r w:rsidR="00476733" w:rsidRPr="00C52BD2">
          <w:rPr>
            <w:noProof/>
          </w:rPr>
          <w:instrText>SCM 23/06/2016</w:instrText>
        </w:r>
      </w:fldSimple>
      <w:r w:rsidR="00476733">
        <w:instrText xml:space="preserve">) - </w:instrText>
      </w:r>
      <w:fldSimple w:instr=" MERGEFIELD Subject  \* UPPER ">
        <w:r w:rsidR="00476733" w:rsidRPr="00C52BD2">
          <w:rPr>
            <w:noProof/>
          </w:rPr>
          <w:instrText>CLOSURE OF MEETING</w:instrText>
        </w:r>
      </w:fldSimple>
      <w:r w:rsidR="00476733">
        <w:instrText>" "</w:instrText>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instrText xml:space="preserve">(MINUTE NO </w:instrText>
      </w:r>
      <w:r w:rsidR="00476733">
        <w:instrText xml:space="preserve">" "" \* Upper  </w:instrText>
      </w:r>
      <w:r w:rsidR="00476733">
        <w:fldChar w:fldCharType="separate"/>
      </w:r>
      <w:r w:rsidR="00476733">
        <w:rPr>
          <w:noProof/>
          <w:sz w:val="28"/>
          <w:u w:val="single"/>
        </w:rPr>
        <w:instrText xml:space="preserve">(MINUTE NO </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fldChar w:fldCharType="begin"/>
      </w:r>
      <w:r w:rsidR="00476733">
        <w:rPr>
          <w:sz w:val="28"/>
          <w:u w:val="single"/>
        </w:rPr>
        <w:instrText xml:space="preserve"> MERGEFIELD Minute_No_2 </w:instrText>
      </w:r>
      <w:r w:rsidR="00476733">
        <w:rPr>
          <w:sz w:val="28"/>
          <w:u w:val="single"/>
        </w:rPr>
        <w:fldChar w:fldCharType="separate"/>
      </w:r>
      <w:r w:rsidR="00476733">
        <w:rPr>
          <w:noProof/>
          <w:sz w:val="28"/>
          <w:u w:val="single"/>
        </w:rPr>
        <w:instrText>«Minute_No_2»</w:instrText>
      </w:r>
      <w:r w:rsidR="00476733">
        <w:rPr>
          <w:sz w:val="28"/>
          <w:u w:val="single"/>
        </w:rPr>
        <w:fldChar w:fldCharType="end"/>
      </w:r>
      <w:r w:rsidR="00476733">
        <w:instrText xml:space="preserve">" "" </w:instrText>
      </w:r>
      <w:r w:rsidR="00476733">
        <w:fldChar w:fldCharType="separate"/>
      </w:r>
      <w:r w:rsidR="00476733">
        <w:rPr>
          <w:noProof/>
          <w:sz w:val="28"/>
          <w:u w:val="single"/>
        </w:rPr>
        <w:instrText>«Minute_No_2»</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&lt;&gt; "" "</w:instrText>
      </w:r>
      <w:r w:rsidR="00476733">
        <w:rPr>
          <w:sz w:val="28"/>
          <w:u w:val="single"/>
        </w:rPr>
        <w:instrText>)</w:instrText>
      </w:r>
      <w:r w:rsidR="00476733">
        <w:instrText xml:space="preserve">" "" </w:instrText>
      </w:r>
      <w:r w:rsidR="00476733">
        <w:fldChar w:fldCharType="separate"/>
      </w:r>
      <w:r w:rsidR="00476733">
        <w:rPr>
          <w:noProof/>
          <w:sz w:val="28"/>
          <w:u w:val="single"/>
        </w:rPr>
        <w:instrText>)</w:instrText>
      </w:r>
      <w:r w:rsidR="00476733">
        <w:fldChar w:fldCharType="end"/>
      </w:r>
      <w:r w:rsidR="00476733">
        <w:fldChar w:fldCharType="begin"/>
      </w:r>
      <w:r w:rsidR="00476733">
        <w:instrText xml:space="preserve"> IF </w:instrText>
      </w:r>
      <w:fldSimple w:instr=" MERGEFIELD Minute_No_2 ">
        <w:r w:rsidR="00476733">
          <w:rPr>
            <w:noProof/>
          </w:rPr>
          <w:instrText>«Minute_No_2»</w:instrText>
        </w:r>
      </w:fldSimple>
      <w:r w:rsidR="00476733">
        <w:instrText xml:space="preserve">&lt;&gt; "" " " "" </w:instrText>
      </w:r>
      <w:r w:rsidR="00476733">
        <w:fldChar w:fldCharType="separate"/>
      </w:r>
      <w:r w:rsidR="00476733">
        <w:rPr>
          <w:noProof/>
        </w:rPr>
        <w:instrText xml:space="preserve"> </w:instrText>
      </w:r>
      <w:r w:rsidR="00476733">
        <w:fldChar w:fldCharType="end"/>
      </w:r>
      <w:r w:rsidR="00476733">
        <w:instrText>(</w:instrText>
      </w:r>
      <w:fldSimple w:instr=" MERGEFIELD Meeting_Alternate \* Upper ">
        <w:r w:rsidR="00476733">
          <w:rPr>
            <w:noProof/>
          </w:rPr>
          <w:instrText>«MEETING_ALTERNATE»</w:instrText>
        </w:r>
      </w:fldSimple>
      <w:r w:rsidR="00476733">
        <w:instrText xml:space="preserve">) - </w:instrText>
      </w:r>
      <w:fldSimple w:instr=" MERGEFIELD Subject  \* UPPER ">
        <w:r w:rsidR="00476733">
          <w:rPr>
            <w:noProof/>
          </w:rPr>
          <w:instrText>«SUBJECT»</w:instrText>
        </w:r>
      </w:fldSimple>
      <w:r w:rsidR="00476733">
        <w:instrText xml:space="preserve">" </w:instrText>
      </w:r>
      <w:r w:rsidR="00476733">
        <w:fldChar w:fldCharType="separate"/>
      </w:r>
      <w:r w:rsidR="000D3B8F">
        <w:rPr>
          <w:noProof/>
        </w:rPr>
        <w:t>(</w:t>
      </w:r>
      <w:r w:rsidR="000D3B8F">
        <w:rPr>
          <w:noProof/>
        </w:rPr>
        <w:fldChar w:fldCharType="begin"/>
      </w:r>
      <w:r w:rsidR="000D3B8F">
        <w:rPr>
          <w:noProof/>
        </w:rPr>
        <w:instrText xml:space="preserve"> MERGEFIELD Meeting_Alternate \* Upper </w:instrText>
      </w:r>
      <w:r w:rsidR="000D3B8F">
        <w:rPr>
          <w:noProof/>
        </w:rPr>
        <w:fldChar w:fldCharType="separate"/>
      </w:r>
      <w:r w:rsidR="000D3B8F" w:rsidRPr="00C52BD2">
        <w:rPr>
          <w:noProof/>
        </w:rPr>
        <w:t>SCM 23/06/2016</w:t>
      </w:r>
      <w:r w:rsidR="000D3B8F">
        <w:rPr>
          <w:noProof/>
        </w:rPr>
        <w:fldChar w:fldCharType="end"/>
      </w:r>
      <w:r w:rsidR="000D3B8F">
        <w:rPr>
          <w:noProof/>
        </w:rPr>
        <w:t xml:space="preserve">) - </w:t>
      </w:r>
      <w:r w:rsidR="000D3B8F">
        <w:rPr>
          <w:noProof/>
        </w:rPr>
        <w:fldChar w:fldCharType="begin"/>
      </w:r>
      <w:r w:rsidR="000D3B8F">
        <w:rPr>
          <w:noProof/>
        </w:rPr>
        <w:instrText xml:space="preserve"> MERGEFIELD Subject  \* UPPER </w:instrText>
      </w:r>
      <w:r w:rsidR="000D3B8F">
        <w:rPr>
          <w:noProof/>
        </w:rPr>
        <w:fldChar w:fldCharType="separate"/>
      </w:r>
      <w:r w:rsidR="000D3B8F" w:rsidRPr="00C52BD2">
        <w:rPr>
          <w:noProof/>
        </w:rPr>
        <w:t>CLOSURE OF MEETING</w:t>
      </w:r>
      <w:r w:rsidR="000D3B8F">
        <w:rPr>
          <w:noProof/>
        </w:rPr>
        <w:fldChar w:fldCharType="end"/>
      </w:r>
      <w:bookmarkEnd w:id="32"/>
      <w:r w:rsidR="00476733">
        <w:fldChar w:fldCharType="end"/>
      </w:r>
    </w:p>
    <w:tbl>
      <w:tblPr>
        <w:tblW w:w="0" w:type="auto"/>
        <w:tblInd w:w="828" w:type="dxa"/>
        <w:tblLayout w:type="fixed"/>
        <w:tblLook w:val="0000" w:firstRow="0" w:lastRow="0" w:firstColumn="0" w:lastColumn="0" w:noHBand="0" w:noVBand="0"/>
      </w:tblPr>
      <w:tblGrid>
        <w:gridCol w:w="8415"/>
      </w:tblGrid>
      <w:tr w:rsidR="00476733" w:rsidTr="00C455B6">
        <w:tc>
          <w:tcPr>
            <w:tcW w:w="8415" w:type="dxa"/>
          </w:tcPr>
          <w:p w:rsidR="00476733" w:rsidRDefault="00476733">
            <w:pPr>
              <w:pStyle w:val="CommentText"/>
              <w:tabs>
                <w:tab w:val="left" w:pos="720"/>
                <w:tab w:val="left" w:pos="1440"/>
              </w:tabs>
              <w:rPr>
                <w:bCs/>
              </w:rPr>
            </w:pPr>
          </w:p>
          <w:p w:rsidR="00476733" w:rsidRDefault="00476733">
            <w:pPr>
              <w:pStyle w:val="CommentText"/>
              <w:tabs>
                <w:tab w:val="left" w:pos="720"/>
                <w:tab w:val="left" w:pos="1440"/>
              </w:tabs>
              <w:rPr>
                <w:bCs/>
              </w:rPr>
            </w:pPr>
            <w:r>
              <w:rPr>
                <w:bCs/>
              </w:rPr>
              <w:t>7.00 pm.</w:t>
            </w:r>
          </w:p>
        </w:tc>
      </w:tr>
    </w:tbl>
    <w:p w:rsidR="00476733" w:rsidRDefault="00476733">
      <w:pPr>
        <w:rPr>
          <w:bCs/>
        </w:rPr>
      </w:pPr>
    </w:p>
    <w:sectPr w:rsidR="00476733" w:rsidSect="00C455B6">
      <w:headerReference w:type="even" r:id="rId14"/>
      <w:headerReference w:type="default" r:id="rId15"/>
      <w:footerReference w:type="even" r:id="rId16"/>
      <w:footerReference w:type="default" r:id="rId17"/>
      <w:headerReference w:type="first" r:id="rId18"/>
      <w:footerReference w:type="first" r:id="rId19"/>
      <w:pgSz w:w="11907" w:h="1683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B6" w:rsidRDefault="00C455B6" w:rsidP="00476733">
      <w:r>
        <w:separator/>
      </w:r>
    </w:p>
  </w:endnote>
  <w:endnote w:type="continuationSeparator" w:id="0">
    <w:p w:rsidR="00C455B6" w:rsidRDefault="00C455B6" w:rsidP="0047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Paramount">
    <w:charset w:val="00"/>
    <w:family w:val="auto"/>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B6" w:rsidRPr="00476733" w:rsidRDefault="00101864" w:rsidP="00476733">
    <w:pPr>
      <w:pStyle w:val="Footer"/>
      <w:jc w:val="left"/>
      <w:rPr>
        <w:b w:val="0"/>
      </w:rPr>
    </w:pPr>
    <w:r>
      <w:rPr>
        <w:noProof/>
        <w:lang w:eastAsia="en-AU"/>
      </w:rPr>
      <w:pict>
        <v:shapetype id="_x0000_t202" coordsize="21600,21600" o:spt="202" path="m,l,21600r21600,l21600,xe">
          <v:stroke joinstyle="miter"/>
          <v:path gradientshapeok="t" o:connecttype="rect"/>
        </v:shapetype>
        <v:shape id="_x0000_s2050" type="#_x0000_t202" style="position:absolute;margin-left:48pt;margin-top:1.85pt;width:43pt;height:36pt;z-index:251659264;mso-wrap-style:tight">
          <v:textbox>
            <w:txbxContent>
              <w:p w:rsidR="00C455B6" w:rsidRDefault="00C455B6"/>
            </w:txbxContent>
          </v:textbox>
        </v:shape>
      </w:pict>
    </w:r>
    <w:r w:rsidR="00C455B6">
      <w:fldChar w:fldCharType="begin"/>
    </w:r>
    <w:r w:rsidR="00C455B6">
      <w:instrText xml:space="preserve"> PAGE  \* MERGEFORMAT </w:instrText>
    </w:r>
    <w:r w:rsidR="00C455B6">
      <w:fldChar w:fldCharType="separate"/>
    </w:r>
    <w:r>
      <w:rPr>
        <w:noProof/>
      </w:rPr>
      <w:t>32</w:t>
    </w:r>
    <w:r w:rsidR="00C455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B6" w:rsidRPr="00476733" w:rsidRDefault="00101864" w:rsidP="00476733">
    <w:pPr>
      <w:pStyle w:val="Footer"/>
      <w:jc w:val="right"/>
      <w:rPr>
        <w:b w:val="0"/>
      </w:rPr>
    </w:pPr>
    <w:r>
      <w:rPr>
        <w:noProof/>
        <w:lang w:eastAsia="en-AU"/>
      </w:rPr>
      <w:pict>
        <v:shapetype id="_x0000_t202" coordsize="21600,21600" o:spt="202" path="m,l,21600r21600,l21600,xe">
          <v:stroke joinstyle="miter"/>
          <v:path gradientshapeok="t" o:connecttype="rect"/>
        </v:shapetype>
        <v:shape id="_x0000_s2049" type="#_x0000_t202" style="position:absolute;left:0;text-align:left;margin-left:369pt;margin-top:1.85pt;width:43pt;height:36pt;z-index:251658240;mso-wrap-style:tight">
          <v:textbox>
            <w:txbxContent>
              <w:p w:rsidR="00C455B6" w:rsidRDefault="00C455B6"/>
            </w:txbxContent>
          </v:textbox>
        </v:shape>
      </w:pict>
    </w:r>
    <w:r w:rsidR="00C455B6">
      <w:fldChar w:fldCharType="begin"/>
    </w:r>
    <w:r w:rsidR="00C455B6">
      <w:instrText xml:space="preserve"> PAGE  \* MERGEFORMAT </w:instrText>
    </w:r>
    <w:r w:rsidR="00C455B6">
      <w:fldChar w:fldCharType="separate"/>
    </w:r>
    <w:r>
      <w:rPr>
        <w:noProof/>
      </w:rPr>
      <w:t>31</w:t>
    </w:r>
    <w:r w:rsidR="00C455B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B6" w:rsidRDefault="00C45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B6" w:rsidRDefault="00C455B6" w:rsidP="00476733">
      <w:r>
        <w:separator/>
      </w:r>
    </w:p>
  </w:footnote>
  <w:footnote w:type="continuationSeparator" w:id="0">
    <w:p w:rsidR="00C455B6" w:rsidRDefault="00C455B6" w:rsidP="0047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B6" w:rsidRPr="00476733" w:rsidRDefault="00C455B6" w:rsidP="00476733">
    <w:pPr>
      <w:pStyle w:val="Header"/>
      <w:jc w:val="left"/>
    </w:pPr>
    <w:proofErr w:type="spellStart"/>
    <w:r w:rsidRPr="00476733">
      <w:rPr>
        <w:bdr w:val="outset" w:sz="4" w:space="0" w:color="auto"/>
      </w:rPr>
      <w:t>SCM</w:t>
    </w:r>
    <w:proofErr w:type="spellEnd"/>
    <w:r w:rsidRPr="00476733">
      <w:rPr>
        <w:bdr w:val="outset" w:sz="4" w:space="0" w:color="auto"/>
      </w:rPr>
      <w:t xml:space="preserve"> 23/06/2016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B6" w:rsidRPr="00476733" w:rsidRDefault="00C455B6" w:rsidP="00476733">
    <w:pPr>
      <w:pStyle w:val="Header"/>
      <w:jc w:val="right"/>
    </w:pPr>
    <w:proofErr w:type="spellStart"/>
    <w:r w:rsidRPr="00476733">
      <w:rPr>
        <w:bdr w:val="single" w:sz="4" w:space="0" w:color="auto"/>
      </w:rPr>
      <w:t>SCM</w:t>
    </w:r>
    <w:proofErr w:type="spellEnd"/>
    <w:r w:rsidRPr="00476733">
      <w:rPr>
        <w:bdr w:val="single" w:sz="4" w:space="0" w:color="auto"/>
      </w:rPr>
      <w:t xml:space="preserve"> 23/06/2016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B6" w:rsidRDefault="00C45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25CE72A"/>
    <w:lvl w:ilvl="0">
      <w:start w:val="1"/>
      <w:numFmt w:val="decimal"/>
      <w:lvlText w:val="%1."/>
      <w:lvlJc w:val="left"/>
      <w:pPr>
        <w:tabs>
          <w:tab w:val="num" w:pos="643"/>
        </w:tabs>
        <w:ind w:left="643" w:hanging="360"/>
      </w:pPr>
    </w:lvl>
  </w:abstractNum>
  <w:abstractNum w:abstractNumId="1">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2">
    <w:nsid w:val="052C1353"/>
    <w:multiLevelType w:val="hybridMultilevel"/>
    <w:tmpl w:val="FD8693D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B00262E"/>
    <w:multiLevelType w:val="multilevel"/>
    <w:tmpl w:val="CF3248E8"/>
    <w:lvl w:ilvl="0">
      <w:start w:val="1"/>
      <w:numFmt w:val="decimal"/>
      <w:lvlText w:val="%1."/>
      <w:lvlJc w:val="left"/>
      <w:pPr>
        <w:tabs>
          <w:tab w:val="num" w:pos="1211"/>
        </w:tabs>
        <w:ind w:left="1211" w:hanging="360"/>
      </w:pPr>
    </w:lvl>
    <w:lvl w:ilvl="1">
      <w:start w:val="1"/>
      <w:numFmt w:val="decimal"/>
      <w:lvlText w:val="%1.%2."/>
      <w:lvlJc w:val="left"/>
      <w:pPr>
        <w:tabs>
          <w:tab w:val="num" w:pos="1643"/>
        </w:tabs>
        <w:ind w:left="1643" w:hanging="432"/>
      </w:pPr>
    </w:lvl>
    <w:lvl w:ilvl="2">
      <w:start w:val="1"/>
      <w:numFmt w:val="decimal"/>
      <w:lvlText w:val="%1.%2.%3."/>
      <w:lvlJc w:val="left"/>
      <w:pPr>
        <w:tabs>
          <w:tab w:val="num" w:pos="2291"/>
        </w:tabs>
        <w:ind w:left="2075" w:hanging="504"/>
      </w:pPr>
    </w:lvl>
    <w:lvl w:ilvl="3">
      <w:start w:val="1"/>
      <w:numFmt w:val="decimal"/>
      <w:lvlText w:val="%1.%2.%3.%4."/>
      <w:lvlJc w:val="left"/>
      <w:pPr>
        <w:tabs>
          <w:tab w:val="num" w:pos="2651"/>
        </w:tabs>
        <w:ind w:left="2579" w:hanging="648"/>
      </w:pPr>
    </w:lvl>
    <w:lvl w:ilvl="4">
      <w:start w:val="1"/>
      <w:numFmt w:val="decimal"/>
      <w:lvlText w:val="%1.%2.%3.%4.%5."/>
      <w:lvlJc w:val="left"/>
      <w:pPr>
        <w:tabs>
          <w:tab w:val="num" w:pos="3371"/>
        </w:tabs>
        <w:ind w:left="3083" w:hanging="792"/>
      </w:pPr>
    </w:lvl>
    <w:lvl w:ilvl="5">
      <w:start w:val="1"/>
      <w:numFmt w:val="decimal"/>
      <w:lvlText w:val="%1.%2.%3.%4.%5.%6."/>
      <w:lvlJc w:val="left"/>
      <w:pPr>
        <w:tabs>
          <w:tab w:val="num" w:pos="3731"/>
        </w:tabs>
        <w:ind w:left="3587" w:hanging="936"/>
      </w:pPr>
    </w:lvl>
    <w:lvl w:ilvl="6">
      <w:start w:val="1"/>
      <w:numFmt w:val="decimal"/>
      <w:lvlText w:val="%1.%2.%3.%4.%5.%6.%7."/>
      <w:lvlJc w:val="left"/>
      <w:pPr>
        <w:tabs>
          <w:tab w:val="num" w:pos="4451"/>
        </w:tabs>
        <w:ind w:left="4091" w:hanging="1080"/>
      </w:pPr>
    </w:lvl>
    <w:lvl w:ilvl="7">
      <w:start w:val="1"/>
      <w:numFmt w:val="decimal"/>
      <w:lvlText w:val="%1.%2.%3.%4.%5.%6.%7.%8."/>
      <w:lvlJc w:val="left"/>
      <w:pPr>
        <w:tabs>
          <w:tab w:val="num" w:pos="4811"/>
        </w:tabs>
        <w:ind w:left="4595" w:hanging="1224"/>
      </w:pPr>
    </w:lvl>
    <w:lvl w:ilvl="8">
      <w:start w:val="1"/>
      <w:numFmt w:val="decimal"/>
      <w:lvlText w:val="%1.%2.%3.%4.%5.%6.%7.%8.%9."/>
      <w:lvlJc w:val="left"/>
      <w:pPr>
        <w:tabs>
          <w:tab w:val="num" w:pos="5531"/>
        </w:tabs>
        <w:ind w:left="5171" w:hanging="1440"/>
      </w:pPr>
    </w:lvl>
  </w:abstractNum>
  <w:abstractNum w:abstractNumId="4">
    <w:nsid w:val="0E78467B"/>
    <w:multiLevelType w:val="hybridMultilevel"/>
    <w:tmpl w:val="65F289A4"/>
    <w:lvl w:ilvl="0" w:tplc="0C09000F">
      <w:start w:val="1"/>
      <w:numFmt w:val="decimal"/>
      <w:lvlText w:val="%1."/>
      <w:lvlJc w:val="left"/>
      <w:pPr>
        <w:ind w:left="720" w:hanging="360"/>
      </w:pPr>
    </w:lvl>
    <w:lvl w:ilvl="1" w:tplc="0C090019">
      <w:start w:val="1"/>
      <w:numFmt w:val="lowerLetter"/>
      <w:lvlText w:val="%2."/>
      <w:lvlJc w:val="left"/>
      <w:pPr>
        <w:ind w:left="1440" w:hanging="360"/>
      </w:pPr>
      <w:rPr>
        <w:rFonts w:cs="Times New Roman"/>
      </w:rPr>
    </w:lvl>
    <w:lvl w:ilvl="2" w:tplc="9258AE26">
      <w:start w:val="1"/>
      <w:numFmt w:val="lowerRoman"/>
      <w:lvlText w:val="%3."/>
      <w:lvlJc w:val="right"/>
      <w:pPr>
        <w:ind w:left="2160" w:hanging="180"/>
      </w:pPr>
      <w:rPr>
        <w:rFonts w:cs="Times New Roman" w:hint="default"/>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nsid w:val="0EEB06C3"/>
    <w:multiLevelType w:val="hybridMultilevel"/>
    <w:tmpl w:val="470854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13751922"/>
    <w:multiLevelType w:val="hybridMultilevel"/>
    <w:tmpl w:val="5A2E20D2"/>
    <w:lvl w:ilvl="0" w:tplc="0C09000F">
      <w:start w:val="1"/>
      <w:numFmt w:val="decimal"/>
      <w:lvlText w:val="%1."/>
      <w:lvlJc w:val="left"/>
      <w:pPr>
        <w:ind w:left="1778" w:hanging="360"/>
      </w:pPr>
    </w:lvl>
    <w:lvl w:ilvl="1" w:tplc="0C090019">
      <w:start w:val="1"/>
      <w:numFmt w:val="lowerLetter"/>
      <w:lvlText w:val="%2."/>
      <w:lvlJc w:val="left"/>
      <w:pPr>
        <w:ind w:left="2498" w:hanging="360"/>
      </w:pPr>
    </w:lvl>
    <w:lvl w:ilvl="2" w:tplc="0C09001B">
      <w:start w:val="1"/>
      <w:numFmt w:val="lowerRoman"/>
      <w:lvlText w:val="%3."/>
      <w:lvlJc w:val="right"/>
      <w:pPr>
        <w:ind w:left="3218" w:hanging="180"/>
      </w:pPr>
    </w:lvl>
    <w:lvl w:ilvl="3" w:tplc="0C09000F">
      <w:start w:val="1"/>
      <w:numFmt w:val="decimal"/>
      <w:lvlText w:val="%4."/>
      <w:lvlJc w:val="left"/>
      <w:pPr>
        <w:ind w:left="3938" w:hanging="360"/>
      </w:pPr>
    </w:lvl>
    <w:lvl w:ilvl="4" w:tplc="0C090019">
      <w:start w:val="1"/>
      <w:numFmt w:val="lowerLetter"/>
      <w:lvlText w:val="%5."/>
      <w:lvlJc w:val="left"/>
      <w:pPr>
        <w:ind w:left="4658" w:hanging="360"/>
      </w:pPr>
    </w:lvl>
    <w:lvl w:ilvl="5" w:tplc="0C09001B">
      <w:start w:val="1"/>
      <w:numFmt w:val="lowerRoman"/>
      <w:lvlText w:val="%6."/>
      <w:lvlJc w:val="right"/>
      <w:pPr>
        <w:ind w:left="5378" w:hanging="180"/>
      </w:pPr>
    </w:lvl>
    <w:lvl w:ilvl="6" w:tplc="0C09000F">
      <w:start w:val="1"/>
      <w:numFmt w:val="decimal"/>
      <w:lvlText w:val="%7."/>
      <w:lvlJc w:val="left"/>
      <w:pPr>
        <w:ind w:left="6098" w:hanging="360"/>
      </w:pPr>
    </w:lvl>
    <w:lvl w:ilvl="7" w:tplc="0C090019">
      <w:start w:val="1"/>
      <w:numFmt w:val="lowerLetter"/>
      <w:lvlText w:val="%8."/>
      <w:lvlJc w:val="left"/>
      <w:pPr>
        <w:ind w:left="6818" w:hanging="360"/>
      </w:pPr>
    </w:lvl>
    <w:lvl w:ilvl="8" w:tplc="0C09001B">
      <w:start w:val="1"/>
      <w:numFmt w:val="lowerRoman"/>
      <w:lvlText w:val="%9."/>
      <w:lvlJc w:val="right"/>
      <w:pPr>
        <w:ind w:left="7538" w:hanging="180"/>
      </w:pPr>
    </w:lvl>
  </w:abstractNum>
  <w:abstractNum w:abstractNumId="7">
    <w:nsid w:val="190A4E1C"/>
    <w:multiLevelType w:val="hybridMultilevel"/>
    <w:tmpl w:val="60C032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8">
    <w:nsid w:val="1B194F7B"/>
    <w:multiLevelType w:val="hybridMultilevel"/>
    <w:tmpl w:val="BABEA4BA"/>
    <w:lvl w:ilvl="0" w:tplc="EBE083EA">
      <w:start w:val="1"/>
      <w:numFmt w:val="bullet"/>
      <w:lvlText w:val=""/>
      <w:lvlJc w:val="left"/>
      <w:pPr>
        <w:tabs>
          <w:tab w:val="num" w:pos="1353"/>
        </w:tabs>
        <w:ind w:left="1353" w:hanging="360"/>
      </w:pPr>
      <w:rPr>
        <w:rFonts w:ascii="Symbol" w:hAnsi="Symbol" w:hint="default"/>
        <w:color w:val="auto"/>
      </w:rPr>
    </w:lvl>
    <w:lvl w:ilvl="1" w:tplc="0C090003" w:tentative="1">
      <w:start w:val="1"/>
      <w:numFmt w:val="bullet"/>
      <w:lvlText w:val="o"/>
      <w:lvlJc w:val="left"/>
      <w:pPr>
        <w:tabs>
          <w:tab w:val="num" w:pos="2433"/>
        </w:tabs>
        <w:ind w:left="2433" w:hanging="360"/>
      </w:pPr>
      <w:rPr>
        <w:rFonts w:ascii="Courier New" w:hAnsi="Courier New" w:cs="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cs="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cs="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9">
    <w:nsid w:val="1BE97476"/>
    <w:multiLevelType w:val="hybridMultilevel"/>
    <w:tmpl w:val="8CDECBD8"/>
    <w:lvl w:ilvl="0" w:tplc="8A788AC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nsid w:val="1E665C51"/>
    <w:multiLevelType w:val="multilevel"/>
    <w:tmpl w:val="4080005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1E9438DE"/>
    <w:multiLevelType w:val="hybridMultilevel"/>
    <w:tmpl w:val="A5D41E2C"/>
    <w:lvl w:ilvl="0" w:tplc="0C090001">
      <w:start w:val="1"/>
      <w:numFmt w:val="bullet"/>
      <w:lvlText w:val=""/>
      <w:lvlJc w:val="left"/>
      <w:pPr>
        <w:ind w:left="2295" w:hanging="360"/>
      </w:pPr>
      <w:rPr>
        <w:rFonts w:ascii="Symbol" w:hAnsi="Symbol" w:hint="default"/>
      </w:rPr>
    </w:lvl>
    <w:lvl w:ilvl="1" w:tplc="0C090003" w:tentative="1">
      <w:start w:val="1"/>
      <w:numFmt w:val="bullet"/>
      <w:lvlText w:val="o"/>
      <w:lvlJc w:val="left"/>
      <w:pPr>
        <w:ind w:left="3015" w:hanging="360"/>
      </w:pPr>
      <w:rPr>
        <w:rFonts w:ascii="Courier New" w:hAnsi="Courier New" w:cs="Courier New" w:hint="default"/>
      </w:rPr>
    </w:lvl>
    <w:lvl w:ilvl="2" w:tplc="0C090005" w:tentative="1">
      <w:start w:val="1"/>
      <w:numFmt w:val="bullet"/>
      <w:lvlText w:val=""/>
      <w:lvlJc w:val="left"/>
      <w:pPr>
        <w:ind w:left="3735" w:hanging="360"/>
      </w:pPr>
      <w:rPr>
        <w:rFonts w:ascii="Wingdings" w:hAnsi="Wingdings" w:hint="default"/>
      </w:rPr>
    </w:lvl>
    <w:lvl w:ilvl="3" w:tplc="0C090001" w:tentative="1">
      <w:start w:val="1"/>
      <w:numFmt w:val="bullet"/>
      <w:lvlText w:val=""/>
      <w:lvlJc w:val="left"/>
      <w:pPr>
        <w:ind w:left="4455" w:hanging="360"/>
      </w:pPr>
      <w:rPr>
        <w:rFonts w:ascii="Symbol" w:hAnsi="Symbol" w:hint="default"/>
      </w:rPr>
    </w:lvl>
    <w:lvl w:ilvl="4" w:tplc="0C090003" w:tentative="1">
      <w:start w:val="1"/>
      <w:numFmt w:val="bullet"/>
      <w:lvlText w:val="o"/>
      <w:lvlJc w:val="left"/>
      <w:pPr>
        <w:ind w:left="5175" w:hanging="360"/>
      </w:pPr>
      <w:rPr>
        <w:rFonts w:ascii="Courier New" w:hAnsi="Courier New" w:cs="Courier New" w:hint="default"/>
      </w:rPr>
    </w:lvl>
    <w:lvl w:ilvl="5" w:tplc="0C090005" w:tentative="1">
      <w:start w:val="1"/>
      <w:numFmt w:val="bullet"/>
      <w:lvlText w:val=""/>
      <w:lvlJc w:val="left"/>
      <w:pPr>
        <w:ind w:left="5895" w:hanging="360"/>
      </w:pPr>
      <w:rPr>
        <w:rFonts w:ascii="Wingdings" w:hAnsi="Wingdings" w:hint="default"/>
      </w:rPr>
    </w:lvl>
    <w:lvl w:ilvl="6" w:tplc="0C090001" w:tentative="1">
      <w:start w:val="1"/>
      <w:numFmt w:val="bullet"/>
      <w:lvlText w:val=""/>
      <w:lvlJc w:val="left"/>
      <w:pPr>
        <w:ind w:left="6615" w:hanging="360"/>
      </w:pPr>
      <w:rPr>
        <w:rFonts w:ascii="Symbol" w:hAnsi="Symbol" w:hint="default"/>
      </w:rPr>
    </w:lvl>
    <w:lvl w:ilvl="7" w:tplc="0C090003" w:tentative="1">
      <w:start w:val="1"/>
      <w:numFmt w:val="bullet"/>
      <w:lvlText w:val="o"/>
      <w:lvlJc w:val="left"/>
      <w:pPr>
        <w:ind w:left="7335" w:hanging="360"/>
      </w:pPr>
      <w:rPr>
        <w:rFonts w:ascii="Courier New" w:hAnsi="Courier New" w:cs="Courier New" w:hint="default"/>
      </w:rPr>
    </w:lvl>
    <w:lvl w:ilvl="8" w:tplc="0C090005" w:tentative="1">
      <w:start w:val="1"/>
      <w:numFmt w:val="bullet"/>
      <w:lvlText w:val=""/>
      <w:lvlJc w:val="left"/>
      <w:pPr>
        <w:ind w:left="8055" w:hanging="360"/>
      </w:pPr>
      <w:rPr>
        <w:rFonts w:ascii="Wingdings" w:hAnsi="Wingdings" w:hint="default"/>
      </w:rPr>
    </w:lvl>
  </w:abstractNum>
  <w:abstractNum w:abstractNumId="12">
    <w:nsid w:val="28894AF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EC10D6"/>
    <w:multiLevelType w:val="hybridMultilevel"/>
    <w:tmpl w:val="460E15B4"/>
    <w:lvl w:ilvl="0" w:tplc="1E10A82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2DB700C4"/>
    <w:multiLevelType w:val="hybridMultilevel"/>
    <w:tmpl w:val="264ED7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nsid w:val="33F21477"/>
    <w:multiLevelType w:val="hybridMultilevel"/>
    <w:tmpl w:val="771039C0"/>
    <w:lvl w:ilvl="0" w:tplc="0C090001">
      <w:start w:val="1"/>
      <w:numFmt w:val="bullet"/>
      <w:lvlText w:val=""/>
      <w:lvlJc w:val="left"/>
      <w:pPr>
        <w:ind w:left="1593"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16">
    <w:nsid w:val="3AA0415D"/>
    <w:multiLevelType w:val="hybridMultilevel"/>
    <w:tmpl w:val="9536C32C"/>
    <w:lvl w:ilvl="0" w:tplc="42644214">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3CDB65CB"/>
    <w:multiLevelType w:val="hybridMultilevel"/>
    <w:tmpl w:val="008C37EE"/>
    <w:lvl w:ilvl="0" w:tplc="714AB93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nsid w:val="3D3B490C"/>
    <w:multiLevelType w:val="hybridMultilevel"/>
    <w:tmpl w:val="215077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20">
    <w:nsid w:val="465B62EE"/>
    <w:multiLevelType w:val="hybridMultilevel"/>
    <w:tmpl w:val="40D470C8"/>
    <w:lvl w:ilvl="0" w:tplc="0C090009">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nsid w:val="4C97114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32461B0"/>
    <w:multiLevelType w:val="hybridMultilevel"/>
    <w:tmpl w:val="E63E8608"/>
    <w:lvl w:ilvl="0" w:tplc="0C090001">
      <w:start w:val="1"/>
      <w:numFmt w:val="bullet"/>
      <w:lvlText w:val=""/>
      <w:lvlJc w:val="left"/>
      <w:pPr>
        <w:ind w:left="2138" w:hanging="360"/>
      </w:pPr>
      <w:rPr>
        <w:rFonts w:ascii="Symbol" w:hAnsi="Symbol"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nsid w:val="582F55A1"/>
    <w:multiLevelType w:val="hybridMultilevel"/>
    <w:tmpl w:val="A18625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5A110F2F"/>
    <w:multiLevelType w:val="singleLevel"/>
    <w:tmpl w:val="2710F4CA"/>
    <w:lvl w:ilvl="0">
      <w:start w:val="1"/>
      <w:numFmt w:val="bullet"/>
      <w:lvlText w:val=""/>
      <w:lvlJc w:val="left"/>
      <w:pPr>
        <w:tabs>
          <w:tab w:val="num" w:pos="360"/>
        </w:tabs>
        <w:ind w:left="1211" w:hanging="360"/>
      </w:pPr>
      <w:rPr>
        <w:rFonts w:ascii="Wingdings" w:hAnsi="Wingdings" w:hint="default"/>
      </w:rPr>
    </w:lvl>
  </w:abstractNum>
  <w:abstractNum w:abstractNumId="25">
    <w:nsid w:val="5E1D5277"/>
    <w:multiLevelType w:val="hybridMultilevel"/>
    <w:tmpl w:val="AADA1A1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nsid w:val="61A41B1D"/>
    <w:multiLevelType w:val="hybridMultilevel"/>
    <w:tmpl w:val="CDEC520C"/>
    <w:lvl w:ilvl="0" w:tplc="0C090001">
      <w:start w:val="1"/>
      <w:numFmt w:val="bullet"/>
      <w:lvlText w:val=""/>
      <w:lvlJc w:val="left"/>
      <w:pPr>
        <w:ind w:left="1136" w:hanging="360"/>
      </w:pPr>
      <w:rPr>
        <w:rFonts w:ascii="Symbol" w:hAnsi="Symbol" w:hint="default"/>
      </w:rPr>
    </w:lvl>
    <w:lvl w:ilvl="1" w:tplc="0C090003">
      <w:start w:val="1"/>
      <w:numFmt w:val="bullet"/>
      <w:lvlText w:val="o"/>
      <w:lvlJc w:val="left"/>
      <w:pPr>
        <w:ind w:left="1856" w:hanging="360"/>
      </w:pPr>
      <w:rPr>
        <w:rFonts w:ascii="Courier New" w:hAnsi="Courier New" w:cs="Courier New" w:hint="default"/>
      </w:rPr>
    </w:lvl>
    <w:lvl w:ilvl="2" w:tplc="0C090005">
      <w:start w:val="1"/>
      <w:numFmt w:val="bullet"/>
      <w:lvlText w:val=""/>
      <w:lvlJc w:val="left"/>
      <w:pPr>
        <w:ind w:left="2576" w:hanging="360"/>
      </w:pPr>
      <w:rPr>
        <w:rFonts w:ascii="Wingdings" w:hAnsi="Wingdings" w:hint="default"/>
      </w:rPr>
    </w:lvl>
    <w:lvl w:ilvl="3" w:tplc="0C090001">
      <w:start w:val="1"/>
      <w:numFmt w:val="bullet"/>
      <w:lvlText w:val=""/>
      <w:lvlJc w:val="left"/>
      <w:pPr>
        <w:ind w:left="3296" w:hanging="360"/>
      </w:pPr>
      <w:rPr>
        <w:rFonts w:ascii="Symbol" w:hAnsi="Symbol" w:hint="default"/>
      </w:rPr>
    </w:lvl>
    <w:lvl w:ilvl="4" w:tplc="0C090003">
      <w:start w:val="1"/>
      <w:numFmt w:val="bullet"/>
      <w:lvlText w:val="o"/>
      <w:lvlJc w:val="left"/>
      <w:pPr>
        <w:ind w:left="4016" w:hanging="360"/>
      </w:pPr>
      <w:rPr>
        <w:rFonts w:ascii="Courier New" w:hAnsi="Courier New" w:cs="Courier New" w:hint="default"/>
      </w:rPr>
    </w:lvl>
    <w:lvl w:ilvl="5" w:tplc="0C090005">
      <w:start w:val="1"/>
      <w:numFmt w:val="bullet"/>
      <w:lvlText w:val=""/>
      <w:lvlJc w:val="left"/>
      <w:pPr>
        <w:ind w:left="4736" w:hanging="360"/>
      </w:pPr>
      <w:rPr>
        <w:rFonts w:ascii="Wingdings" w:hAnsi="Wingdings" w:hint="default"/>
      </w:rPr>
    </w:lvl>
    <w:lvl w:ilvl="6" w:tplc="0C090001">
      <w:start w:val="1"/>
      <w:numFmt w:val="bullet"/>
      <w:lvlText w:val=""/>
      <w:lvlJc w:val="left"/>
      <w:pPr>
        <w:ind w:left="5456" w:hanging="360"/>
      </w:pPr>
      <w:rPr>
        <w:rFonts w:ascii="Symbol" w:hAnsi="Symbol" w:hint="default"/>
      </w:rPr>
    </w:lvl>
    <w:lvl w:ilvl="7" w:tplc="0C090003">
      <w:start w:val="1"/>
      <w:numFmt w:val="bullet"/>
      <w:lvlText w:val="o"/>
      <w:lvlJc w:val="left"/>
      <w:pPr>
        <w:ind w:left="6176" w:hanging="360"/>
      </w:pPr>
      <w:rPr>
        <w:rFonts w:ascii="Courier New" w:hAnsi="Courier New" w:cs="Courier New" w:hint="default"/>
      </w:rPr>
    </w:lvl>
    <w:lvl w:ilvl="8" w:tplc="0C090005">
      <w:start w:val="1"/>
      <w:numFmt w:val="bullet"/>
      <w:lvlText w:val=""/>
      <w:lvlJc w:val="left"/>
      <w:pPr>
        <w:ind w:left="6896" w:hanging="360"/>
      </w:pPr>
      <w:rPr>
        <w:rFonts w:ascii="Wingdings" w:hAnsi="Wingdings" w:hint="default"/>
      </w:rPr>
    </w:lvl>
  </w:abstractNum>
  <w:abstractNum w:abstractNumId="27">
    <w:nsid w:val="61B82AD0"/>
    <w:multiLevelType w:val="hybridMultilevel"/>
    <w:tmpl w:val="533464C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nsid w:val="620475C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082903"/>
    <w:multiLevelType w:val="hybridMultilevel"/>
    <w:tmpl w:val="3C84156A"/>
    <w:lvl w:ilvl="0" w:tplc="EBE083EA">
      <w:start w:val="1"/>
      <w:numFmt w:val="bullet"/>
      <w:lvlText w:val=""/>
      <w:lvlJc w:val="left"/>
      <w:pPr>
        <w:tabs>
          <w:tab w:val="num" w:pos="1495"/>
        </w:tabs>
        <w:ind w:left="1495" w:hanging="360"/>
      </w:pPr>
      <w:rPr>
        <w:rFonts w:ascii="Symbol" w:hAnsi="Symbol" w:hint="default"/>
        <w:color w:val="auto"/>
      </w:rPr>
    </w:lvl>
    <w:lvl w:ilvl="1" w:tplc="0C090003" w:tentative="1">
      <w:start w:val="1"/>
      <w:numFmt w:val="bullet"/>
      <w:lvlText w:val="o"/>
      <w:lvlJc w:val="left"/>
      <w:pPr>
        <w:tabs>
          <w:tab w:val="num" w:pos="2575"/>
        </w:tabs>
        <w:ind w:left="2575" w:hanging="360"/>
      </w:pPr>
      <w:rPr>
        <w:rFonts w:ascii="Courier New" w:hAnsi="Courier New" w:cs="Courier New" w:hint="default"/>
      </w:rPr>
    </w:lvl>
    <w:lvl w:ilvl="2" w:tplc="0C090005" w:tentative="1">
      <w:start w:val="1"/>
      <w:numFmt w:val="bullet"/>
      <w:lvlText w:val=""/>
      <w:lvlJc w:val="left"/>
      <w:pPr>
        <w:tabs>
          <w:tab w:val="num" w:pos="3295"/>
        </w:tabs>
        <w:ind w:left="3295" w:hanging="360"/>
      </w:pPr>
      <w:rPr>
        <w:rFonts w:ascii="Wingdings" w:hAnsi="Wingdings" w:hint="default"/>
      </w:rPr>
    </w:lvl>
    <w:lvl w:ilvl="3" w:tplc="0C090001" w:tentative="1">
      <w:start w:val="1"/>
      <w:numFmt w:val="bullet"/>
      <w:lvlText w:val=""/>
      <w:lvlJc w:val="left"/>
      <w:pPr>
        <w:tabs>
          <w:tab w:val="num" w:pos="4015"/>
        </w:tabs>
        <w:ind w:left="4015" w:hanging="360"/>
      </w:pPr>
      <w:rPr>
        <w:rFonts w:ascii="Symbol" w:hAnsi="Symbol" w:hint="default"/>
      </w:rPr>
    </w:lvl>
    <w:lvl w:ilvl="4" w:tplc="0C090003" w:tentative="1">
      <w:start w:val="1"/>
      <w:numFmt w:val="bullet"/>
      <w:lvlText w:val="o"/>
      <w:lvlJc w:val="left"/>
      <w:pPr>
        <w:tabs>
          <w:tab w:val="num" w:pos="4735"/>
        </w:tabs>
        <w:ind w:left="4735" w:hanging="360"/>
      </w:pPr>
      <w:rPr>
        <w:rFonts w:ascii="Courier New" w:hAnsi="Courier New" w:cs="Courier New" w:hint="default"/>
      </w:rPr>
    </w:lvl>
    <w:lvl w:ilvl="5" w:tplc="0C090005" w:tentative="1">
      <w:start w:val="1"/>
      <w:numFmt w:val="bullet"/>
      <w:lvlText w:val=""/>
      <w:lvlJc w:val="left"/>
      <w:pPr>
        <w:tabs>
          <w:tab w:val="num" w:pos="5455"/>
        </w:tabs>
        <w:ind w:left="5455" w:hanging="360"/>
      </w:pPr>
      <w:rPr>
        <w:rFonts w:ascii="Wingdings" w:hAnsi="Wingdings" w:hint="default"/>
      </w:rPr>
    </w:lvl>
    <w:lvl w:ilvl="6" w:tplc="0C090001" w:tentative="1">
      <w:start w:val="1"/>
      <w:numFmt w:val="bullet"/>
      <w:lvlText w:val=""/>
      <w:lvlJc w:val="left"/>
      <w:pPr>
        <w:tabs>
          <w:tab w:val="num" w:pos="6175"/>
        </w:tabs>
        <w:ind w:left="6175" w:hanging="360"/>
      </w:pPr>
      <w:rPr>
        <w:rFonts w:ascii="Symbol" w:hAnsi="Symbol" w:hint="default"/>
      </w:rPr>
    </w:lvl>
    <w:lvl w:ilvl="7" w:tplc="0C090003" w:tentative="1">
      <w:start w:val="1"/>
      <w:numFmt w:val="bullet"/>
      <w:lvlText w:val="o"/>
      <w:lvlJc w:val="left"/>
      <w:pPr>
        <w:tabs>
          <w:tab w:val="num" w:pos="6895"/>
        </w:tabs>
        <w:ind w:left="6895" w:hanging="360"/>
      </w:pPr>
      <w:rPr>
        <w:rFonts w:ascii="Courier New" w:hAnsi="Courier New" w:cs="Courier New" w:hint="default"/>
      </w:rPr>
    </w:lvl>
    <w:lvl w:ilvl="8" w:tplc="0C090005" w:tentative="1">
      <w:start w:val="1"/>
      <w:numFmt w:val="bullet"/>
      <w:lvlText w:val=""/>
      <w:lvlJc w:val="left"/>
      <w:pPr>
        <w:tabs>
          <w:tab w:val="num" w:pos="7615"/>
        </w:tabs>
        <w:ind w:left="7615" w:hanging="360"/>
      </w:pPr>
      <w:rPr>
        <w:rFonts w:ascii="Wingdings" w:hAnsi="Wingdings" w:hint="default"/>
      </w:rPr>
    </w:lvl>
  </w:abstractNum>
  <w:abstractNum w:abstractNumId="30">
    <w:nsid w:val="6A936050"/>
    <w:multiLevelType w:val="hybridMultilevel"/>
    <w:tmpl w:val="5ED461F6"/>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start w:val="1"/>
      <w:numFmt w:val="bullet"/>
      <w:lvlText w:val=""/>
      <w:lvlJc w:val="left"/>
      <w:pPr>
        <w:ind w:left="5738" w:hanging="360"/>
      </w:pPr>
      <w:rPr>
        <w:rFonts w:ascii="Wingdings" w:hAnsi="Wingdings" w:hint="default"/>
      </w:rPr>
    </w:lvl>
    <w:lvl w:ilvl="6" w:tplc="0C090001">
      <w:start w:val="1"/>
      <w:numFmt w:val="bullet"/>
      <w:lvlText w:val=""/>
      <w:lvlJc w:val="left"/>
      <w:pPr>
        <w:ind w:left="6458" w:hanging="360"/>
      </w:pPr>
      <w:rPr>
        <w:rFonts w:ascii="Symbol" w:hAnsi="Symbol" w:hint="default"/>
      </w:rPr>
    </w:lvl>
    <w:lvl w:ilvl="7" w:tplc="0C090003">
      <w:start w:val="1"/>
      <w:numFmt w:val="bullet"/>
      <w:lvlText w:val="o"/>
      <w:lvlJc w:val="left"/>
      <w:pPr>
        <w:ind w:left="7178" w:hanging="360"/>
      </w:pPr>
      <w:rPr>
        <w:rFonts w:ascii="Courier New" w:hAnsi="Courier New" w:cs="Courier New" w:hint="default"/>
      </w:rPr>
    </w:lvl>
    <w:lvl w:ilvl="8" w:tplc="0C090005">
      <w:start w:val="1"/>
      <w:numFmt w:val="bullet"/>
      <w:lvlText w:val=""/>
      <w:lvlJc w:val="left"/>
      <w:pPr>
        <w:ind w:left="7898" w:hanging="360"/>
      </w:pPr>
      <w:rPr>
        <w:rFonts w:ascii="Wingdings" w:hAnsi="Wingdings" w:hint="default"/>
      </w:rPr>
    </w:lvl>
  </w:abstractNum>
  <w:abstractNum w:abstractNumId="31">
    <w:nsid w:val="6EE80400"/>
    <w:multiLevelType w:val="hybridMultilevel"/>
    <w:tmpl w:val="7A22E00A"/>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2">
    <w:nsid w:val="6FAD166F"/>
    <w:multiLevelType w:val="hybridMultilevel"/>
    <w:tmpl w:val="944A6B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nsid w:val="753E0A9B"/>
    <w:multiLevelType w:val="multilevel"/>
    <w:tmpl w:val="0AFEFD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6850C95"/>
    <w:multiLevelType w:val="hybridMultilevel"/>
    <w:tmpl w:val="E960AC4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5">
    <w:nsid w:val="78077B03"/>
    <w:multiLevelType w:val="hybridMultilevel"/>
    <w:tmpl w:val="06E6F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93D71B4"/>
    <w:multiLevelType w:val="hybridMultilevel"/>
    <w:tmpl w:val="9DEE27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nsid w:val="7AE31D90"/>
    <w:multiLevelType w:val="hybridMultilevel"/>
    <w:tmpl w:val="B9E2BDBA"/>
    <w:lvl w:ilvl="0" w:tplc="0C09000F">
      <w:start w:val="1"/>
      <w:numFmt w:val="decimal"/>
      <w:lvlText w:val="%1."/>
      <w:lvlJc w:val="left"/>
      <w:pPr>
        <w:ind w:left="720" w:hanging="360"/>
      </w:pPr>
    </w:lvl>
    <w:lvl w:ilvl="1" w:tplc="0C090019">
      <w:start w:val="1"/>
      <w:numFmt w:val="lowerLetter"/>
      <w:lvlText w:val="%2."/>
      <w:lvlJc w:val="left"/>
      <w:pPr>
        <w:ind w:left="1440" w:hanging="360"/>
      </w:pPr>
      <w:rPr>
        <w:rFonts w:cs="Times New Roman"/>
      </w:rPr>
    </w:lvl>
    <w:lvl w:ilvl="2" w:tplc="0C09000F">
      <w:start w:val="1"/>
      <w:numFmt w:val="decimal"/>
      <w:lvlText w:val="%3."/>
      <w:lvlJc w:val="left"/>
      <w:pPr>
        <w:ind w:left="2160" w:hanging="180"/>
      </w:pPr>
      <w:rPr>
        <w:rFonts w:hint="default"/>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nsid w:val="7F2170D7"/>
    <w:multiLevelType w:val="multilevel"/>
    <w:tmpl w:val="F26E3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8"/>
  </w:num>
  <w:num w:numId="3">
    <w:abstractNumId w:val="12"/>
  </w:num>
  <w:num w:numId="4">
    <w:abstractNumId w:val="21"/>
  </w:num>
  <w:num w:numId="5">
    <w:abstractNumId w:val="24"/>
  </w:num>
  <w:num w:numId="6">
    <w:abstractNumId w:val="38"/>
  </w:num>
  <w:num w:numId="7">
    <w:abstractNumId w:val="3"/>
  </w:num>
  <w:num w:numId="8">
    <w:abstractNumId w:val="10"/>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5"/>
  </w:num>
  <w:num w:numId="13">
    <w:abstractNumId w:val="8"/>
  </w:num>
  <w:num w:numId="14">
    <w:abstractNumId w:val="23"/>
  </w:num>
  <w:num w:numId="15">
    <w:abstractNumId w:val="29"/>
  </w:num>
  <w:num w:numId="16">
    <w:abstractNumId w:val="9"/>
  </w:num>
  <w:num w:numId="1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7"/>
  </w:num>
  <w:num w:numId="20">
    <w:abstractNumId w:val="30"/>
  </w:num>
  <w:num w:numId="21">
    <w:abstractNumId w:val="15"/>
  </w:num>
  <w:num w:numId="22">
    <w:abstractNumId w:val="7"/>
  </w:num>
  <w:num w:numId="23">
    <w:abstractNumId w:val="31"/>
  </w:num>
  <w:num w:numId="24">
    <w:abstractNumId w:val="32"/>
  </w:num>
  <w:num w:numId="25">
    <w:abstractNumId w:val="33"/>
  </w:num>
  <w:num w:numId="26">
    <w:abstractNumId w:val="2"/>
  </w:num>
  <w:num w:numId="27">
    <w:abstractNumId w:val="25"/>
  </w:num>
  <w:num w:numId="28">
    <w:abstractNumId w:val="13"/>
  </w:num>
  <w:num w:numId="29">
    <w:abstractNumId w:val="11"/>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6"/>
  </w:num>
  <w:num w:numId="33">
    <w:abstractNumId w:val="14"/>
  </w:num>
  <w:num w:numId="34">
    <w:abstractNumId w:val="37"/>
  </w:num>
  <w:num w:numId="35">
    <w:abstractNumId w:val="18"/>
  </w:num>
  <w:num w:numId="36">
    <w:abstractNumId w:val="34"/>
  </w:num>
  <w:num w:numId="37">
    <w:abstractNumId w:val="36"/>
  </w:num>
  <w:num w:numId="38">
    <w:abstractNumId w:val="20"/>
  </w:num>
  <w:num w:numId="39">
    <w:abstractNumId w:val="2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9DInIm6Nmv6KO1gwaKPbQwVjX0=" w:salt="XHgHrxHYpqI+T0aUfVgTFw=="/>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gendaflag" w:val=" 0"/>
    <w:docVar w:name="doctemplate" w:val="W:\AM_Live\standardagm.dotm"/>
    <w:docVar w:name="meeting" w:val="SCM20160623"/>
    <w:docVar w:name="meetingbody" w:val="SPECIAL COUNCIL MEETING"/>
    <w:docVar w:name="meetingbodykey" w:val="SCM"/>
    <w:docVar w:name="meetingdate" w:val="23 JUNE 2016"/>
  </w:docVars>
  <w:rsids>
    <w:rsidRoot w:val="00476733"/>
    <w:rsid w:val="00017A3E"/>
    <w:rsid w:val="00021C77"/>
    <w:rsid w:val="000228F8"/>
    <w:rsid w:val="0006018A"/>
    <w:rsid w:val="00084C8E"/>
    <w:rsid w:val="00091283"/>
    <w:rsid w:val="000D3B8F"/>
    <w:rsid w:val="00101864"/>
    <w:rsid w:val="00134EE4"/>
    <w:rsid w:val="001946DE"/>
    <w:rsid w:val="001976C2"/>
    <w:rsid w:val="001F2153"/>
    <w:rsid w:val="002073AB"/>
    <w:rsid w:val="00210378"/>
    <w:rsid w:val="002349C9"/>
    <w:rsid w:val="002B24CD"/>
    <w:rsid w:val="002B6FEE"/>
    <w:rsid w:val="00302402"/>
    <w:rsid w:val="0033284D"/>
    <w:rsid w:val="00370162"/>
    <w:rsid w:val="003E7ED3"/>
    <w:rsid w:val="003F4798"/>
    <w:rsid w:val="003F6B79"/>
    <w:rsid w:val="004359F6"/>
    <w:rsid w:val="00476733"/>
    <w:rsid w:val="004E24C7"/>
    <w:rsid w:val="004E4149"/>
    <w:rsid w:val="005B69D9"/>
    <w:rsid w:val="005C2CFD"/>
    <w:rsid w:val="005C5E96"/>
    <w:rsid w:val="005F31D8"/>
    <w:rsid w:val="00630077"/>
    <w:rsid w:val="0067281A"/>
    <w:rsid w:val="0068720C"/>
    <w:rsid w:val="006A61FD"/>
    <w:rsid w:val="006E01E2"/>
    <w:rsid w:val="007252A8"/>
    <w:rsid w:val="00751184"/>
    <w:rsid w:val="00761CFF"/>
    <w:rsid w:val="00764CB2"/>
    <w:rsid w:val="00795C60"/>
    <w:rsid w:val="007E67A4"/>
    <w:rsid w:val="008876D0"/>
    <w:rsid w:val="008C1C3C"/>
    <w:rsid w:val="00922046"/>
    <w:rsid w:val="00966B7D"/>
    <w:rsid w:val="009B3D55"/>
    <w:rsid w:val="009E34F8"/>
    <w:rsid w:val="00A13002"/>
    <w:rsid w:val="00A1418A"/>
    <w:rsid w:val="00A3522E"/>
    <w:rsid w:val="00A35CA6"/>
    <w:rsid w:val="00A51D9E"/>
    <w:rsid w:val="00AC1D30"/>
    <w:rsid w:val="00AC79FB"/>
    <w:rsid w:val="00B4276D"/>
    <w:rsid w:val="00BB1600"/>
    <w:rsid w:val="00BE0887"/>
    <w:rsid w:val="00BE2821"/>
    <w:rsid w:val="00BE35E5"/>
    <w:rsid w:val="00BF13DC"/>
    <w:rsid w:val="00C07855"/>
    <w:rsid w:val="00C24C0E"/>
    <w:rsid w:val="00C30F26"/>
    <w:rsid w:val="00C455B6"/>
    <w:rsid w:val="00C60765"/>
    <w:rsid w:val="00C71AED"/>
    <w:rsid w:val="00CD018E"/>
    <w:rsid w:val="00CD510F"/>
    <w:rsid w:val="00CE7440"/>
    <w:rsid w:val="00D00A4A"/>
    <w:rsid w:val="00D210CE"/>
    <w:rsid w:val="00D46E72"/>
    <w:rsid w:val="00D738AA"/>
    <w:rsid w:val="00ED2881"/>
    <w:rsid w:val="00ED3021"/>
    <w:rsid w:val="00EE2E05"/>
    <w:rsid w:val="00EF2BC8"/>
    <w:rsid w:val="00F150A0"/>
    <w:rsid w:val="00F27CA3"/>
    <w:rsid w:val="00F47C5D"/>
    <w:rsid w:val="00F86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3"/>
    <o:shapelayout v:ext="edit">
      <o:idmap v:ext="edit" data="1"/>
      <o:rules v:ext="edit">
        <o:r id="V:Rule2" type="connector" idref="#Straight Arrow Connector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733"/>
    <w:pPr>
      <w:jc w:val="both"/>
    </w:pPr>
    <w:rPr>
      <w:rFonts w:ascii="Arial" w:hAnsi="Arial"/>
      <w:sz w:val="24"/>
      <w:lang w:eastAsia="en-US"/>
    </w:rPr>
  </w:style>
  <w:style w:type="paragraph" w:styleId="Heading1">
    <w:name w:val="heading 1"/>
    <w:basedOn w:val="Normal"/>
    <w:next w:val="Normal"/>
    <w:link w:val="Heading1Char"/>
    <w:qFormat/>
    <w:rsid w:val="00476733"/>
    <w:pPr>
      <w:keepNext/>
      <w:numPr>
        <w:numId w:val="1"/>
      </w:numPr>
      <w:spacing w:before="240" w:after="60"/>
      <w:outlineLvl w:val="0"/>
    </w:pPr>
    <w:rPr>
      <w:rFonts w:ascii="Univers" w:hAnsi="Univers"/>
      <w:kern w:val="28"/>
      <w:sz w:val="22"/>
    </w:rPr>
  </w:style>
  <w:style w:type="paragraph" w:styleId="Heading2">
    <w:name w:val="heading 2"/>
    <w:basedOn w:val="Normal"/>
    <w:next w:val="Normal"/>
    <w:link w:val="Heading2Char"/>
    <w:qFormat/>
    <w:rsid w:val="00476733"/>
    <w:pPr>
      <w:keepNext/>
      <w:numPr>
        <w:ilvl w:val="1"/>
        <w:numId w:val="1"/>
      </w:numPr>
      <w:spacing w:before="240" w:after="60"/>
      <w:outlineLvl w:val="1"/>
    </w:pPr>
    <w:rPr>
      <w:rFonts w:ascii="Univers" w:hAnsi="Univers"/>
      <w:caps/>
      <w:sz w:val="22"/>
    </w:rPr>
  </w:style>
  <w:style w:type="paragraph" w:styleId="Heading3">
    <w:name w:val="heading 3"/>
    <w:basedOn w:val="Normal"/>
    <w:next w:val="Normal"/>
    <w:link w:val="Heading3Char"/>
    <w:qFormat/>
    <w:rsid w:val="00476733"/>
    <w:pPr>
      <w:keepNext/>
      <w:numPr>
        <w:ilvl w:val="2"/>
        <w:numId w:val="1"/>
      </w:numPr>
      <w:spacing w:before="240" w:after="60"/>
      <w:outlineLvl w:val="2"/>
    </w:pPr>
    <w:rPr>
      <w:rFonts w:ascii="Univers" w:hAnsi="Univers"/>
      <w:caps/>
      <w:sz w:val="22"/>
    </w:rPr>
  </w:style>
  <w:style w:type="paragraph" w:styleId="Heading4">
    <w:name w:val="heading 4"/>
    <w:basedOn w:val="Normal"/>
    <w:next w:val="Normal"/>
    <w:link w:val="Heading4Char"/>
    <w:qFormat/>
    <w:rsid w:val="00476733"/>
    <w:pPr>
      <w:keepNext/>
      <w:numPr>
        <w:ilvl w:val="3"/>
        <w:numId w:val="1"/>
      </w:numPr>
      <w:spacing w:before="240" w:after="60"/>
      <w:outlineLvl w:val="3"/>
    </w:pPr>
    <w:rPr>
      <w:b/>
      <w:i/>
      <w:sz w:val="22"/>
    </w:rPr>
  </w:style>
  <w:style w:type="paragraph" w:styleId="Heading5">
    <w:name w:val="heading 5"/>
    <w:basedOn w:val="Normal"/>
    <w:next w:val="Normal"/>
    <w:link w:val="Heading5Char"/>
    <w:qFormat/>
    <w:rsid w:val="00476733"/>
    <w:pPr>
      <w:numPr>
        <w:ilvl w:val="4"/>
        <w:numId w:val="1"/>
      </w:numPr>
      <w:spacing w:before="240" w:after="60"/>
      <w:outlineLvl w:val="4"/>
    </w:pPr>
    <w:rPr>
      <w:rFonts w:ascii="Univers" w:hAnsi="Univers"/>
      <w:sz w:val="22"/>
    </w:rPr>
  </w:style>
  <w:style w:type="paragraph" w:styleId="Heading6">
    <w:name w:val="heading 6"/>
    <w:basedOn w:val="Normal"/>
    <w:next w:val="Normal"/>
    <w:link w:val="Heading6Char"/>
    <w:qFormat/>
    <w:rsid w:val="00476733"/>
    <w:pPr>
      <w:numPr>
        <w:ilvl w:val="5"/>
        <w:numId w:val="1"/>
      </w:numPr>
      <w:spacing w:before="240" w:after="60"/>
      <w:outlineLvl w:val="5"/>
    </w:pPr>
    <w:rPr>
      <w:rFonts w:ascii="Univers" w:hAnsi="Univers"/>
      <w:i/>
      <w:sz w:val="22"/>
    </w:rPr>
  </w:style>
  <w:style w:type="paragraph" w:styleId="Heading7">
    <w:name w:val="heading 7"/>
    <w:basedOn w:val="Normal"/>
    <w:next w:val="Normal"/>
    <w:link w:val="Heading7Char"/>
    <w:qFormat/>
    <w:rsid w:val="00476733"/>
    <w:pPr>
      <w:numPr>
        <w:ilvl w:val="6"/>
        <w:numId w:val="1"/>
      </w:numPr>
      <w:spacing w:before="240" w:after="60"/>
      <w:outlineLvl w:val="6"/>
    </w:pPr>
    <w:rPr>
      <w:rFonts w:ascii="Univers" w:hAnsi="Univers"/>
    </w:rPr>
  </w:style>
  <w:style w:type="paragraph" w:styleId="Heading8">
    <w:name w:val="heading 8"/>
    <w:basedOn w:val="Normal"/>
    <w:next w:val="Normal"/>
    <w:link w:val="Heading8Char"/>
    <w:qFormat/>
    <w:rsid w:val="00476733"/>
    <w:pPr>
      <w:numPr>
        <w:ilvl w:val="7"/>
        <w:numId w:val="1"/>
      </w:numPr>
      <w:spacing w:before="240" w:after="60"/>
      <w:outlineLvl w:val="7"/>
    </w:pPr>
    <w:rPr>
      <w:rFonts w:ascii="Univers" w:hAnsi="Univers"/>
      <w:i/>
    </w:rPr>
  </w:style>
  <w:style w:type="paragraph" w:styleId="Heading9">
    <w:name w:val="heading 9"/>
    <w:basedOn w:val="Normal"/>
    <w:next w:val="Normal"/>
    <w:link w:val="Heading9Char"/>
    <w:qFormat/>
    <w:rsid w:val="00476733"/>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476733"/>
    <w:pPr>
      <w:tabs>
        <w:tab w:val="left" w:pos="2155"/>
      </w:tabs>
      <w:spacing w:before="0"/>
      <w:ind w:left="1360"/>
    </w:pPr>
    <w:rPr>
      <w:noProof/>
      <w:color w:val="000000"/>
    </w:rPr>
  </w:style>
  <w:style w:type="character" w:styleId="CommentReference">
    <w:name w:val="annotation reference"/>
    <w:rsid w:val="005C5E96"/>
    <w:rPr>
      <w:sz w:val="16"/>
    </w:rPr>
  </w:style>
  <w:style w:type="paragraph" w:styleId="CommentText">
    <w:name w:val="annotation text"/>
    <w:basedOn w:val="Normal"/>
    <w:link w:val="CommentTextChar"/>
    <w:semiHidden/>
    <w:rsid w:val="00476733"/>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476733"/>
  </w:style>
  <w:style w:type="paragraph" w:styleId="BodyTextIndent">
    <w:name w:val="Body Text Indent"/>
    <w:basedOn w:val="NormalIndent"/>
    <w:next w:val="NormalIndent"/>
    <w:link w:val="BodyTextIndentChar"/>
    <w:rsid w:val="00476733"/>
  </w:style>
  <w:style w:type="paragraph" w:customStyle="1" w:styleId="BodyTextKeep">
    <w:name w:val="Body Text Keep"/>
    <w:basedOn w:val="BodyText"/>
    <w:rsid w:val="005C5E96"/>
    <w:pPr>
      <w:keepNext/>
    </w:pPr>
  </w:style>
  <w:style w:type="paragraph" w:styleId="Caption">
    <w:name w:val="caption"/>
    <w:basedOn w:val="Normal"/>
    <w:next w:val="Normal"/>
    <w:qFormat/>
    <w:rsid w:val="00476733"/>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rsid w:val="005C5E96"/>
    <w:rPr>
      <w:b/>
      <w:vertAlign w:val="superscript"/>
    </w:rPr>
  </w:style>
  <w:style w:type="paragraph" w:styleId="EndnoteText">
    <w:name w:val="endnote text"/>
    <w:basedOn w:val="Normal"/>
    <w:link w:val="EndnoteTextChar"/>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link w:val="FooterChar"/>
    <w:rsid w:val="00476733"/>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rsid w:val="005C5E96"/>
    <w:rPr>
      <w:vertAlign w:val="superscript"/>
    </w:rPr>
  </w:style>
  <w:style w:type="paragraph" w:styleId="FootnoteText">
    <w:name w:val="footnote text"/>
    <w:basedOn w:val="FootnoteBase"/>
    <w:link w:val="FootnoteTextChar"/>
    <w:rsid w:val="005C5E96"/>
  </w:style>
  <w:style w:type="paragraph" w:styleId="Header">
    <w:name w:val="header"/>
    <w:basedOn w:val="Normal"/>
    <w:link w:val="HeaderChar"/>
    <w:rsid w:val="00476733"/>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link w:val="MacroTextChar"/>
    <w:rsid w:val="005C5E96"/>
    <w:pPr>
      <w:ind w:left="1080"/>
    </w:pPr>
    <w:rPr>
      <w:rFonts w:ascii="Courier New" w:hAnsi="Courier New"/>
      <w:sz w:val="20"/>
      <w:lang w:val="en-GB"/>
    </w:rPr>
  </w:style>
  <w:style w:type="paragraph" w:styleId="MessageHeader">
    <w:name w:val="Message Header"/>
    <w:basedOn w:val="BodyText"/>
    <w:link w:val="MessageHeaderChar"/>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476733"/>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link w:val="SubtitleChar"/>
    <w:qFormat/>
    <w:rsid w:val="005C5E96"/>
    <w:pPr>
      <w:spacing w:before="0" w:after="160" w:line="400" w:lineRule="atLeast"/>
      <w:jc w:val="left"/>
    </w:pPr>
    <w:rPr>
      <w:i/>
      <w:spacing w:val="-14"/>
      <w:sz w:val="34"/>
    </w:rPr>
  </w:style>
  <w:style w:type="paragraph" w:styleId="Title">
    <w:name w:val="Title"/>
    <w:basedOn w:val="Normal"/>
    <w:link w:val="TitleChar"/>
    <w:qFormat/>
    <w:rsid w:val="00476733"/>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rsid w:val="005C5E96"/>
    <w:pPr>
      <w:tabs>
        <w:tab w:val="right" w:leader="dot" w:pos="7560"/>
      </w:tabs>
      <w:ind w:left="1440" w:hanging="360"/>
    </w:pPr>
  </w:style>
  <w:style w:type="paragraph" w:styleId="TableofFigures">
    <w:name w:val="table of figures"/>
    <w:basedOn w:val="Normal"/>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rsid w:val="005C5E96"/>
    <w:pPr>
      <w:keepNext/>
      <w:spacing w:before="240" w:after="120" w:line="360" w:lineRule="exact"/>
    </w:pPr>
    <w:rPr>
      <w:b/>
      <w:kern w:val="28"/>
      <w:sz w:val="28"/>
    </w:rPr>
  </w:style>
  <w:style w:type="paragraph" w:styleId="TOC1">
    <w:name w:val="toc 1"/>
    <w:basedOn w:val="Normal"/>
    <w:next w:val="Normal"/>
    <w:uiPriority w:val="39"/>
    <w:rsid w:val="00476733"/>
    <w:pPr>
      <w:tabs>
        <w:tab w:val="right" w:leader="dot" w:pos="8784"/>
      </w:tabs>
      <w:spacing w:before="120" w:after="120"/>
      <w:ind w:left="680" w:right="851" w:hanging="680"/>
      <w:jc w:val="left"/>
    </w:pPr>
    <w:rPr>
      <w:caps/>
      <w:sz w:val="22"/>
    </w:rPr>
  </w:style>
  <w:style w:type="paragraph" w:styleId="TOC2">
    <w:name w:val="toc 2"/>
    <w:next w:val="Normal"/>
    <w:uiPriority w:val="39"/>
    <w:rsid w:val="00476733"/>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uiPriority w:val="39"/>
    <w:rsid w:val="00476733"/>
    <w:pPr>
      <w:tabs>
        <w:tab w:val="right" w:pos="8783"/>
      </w:tabs>
      <w:spacing w:before="120" w:after="120"/>
      <w:ind w:left="1418" w:right="851"/>
      <w:jc w:val="left"/>
    </w:pPr>
    <w:rPr>
      <w:caps/>
      <w:sz w:val="22"/>
    </w:rPr>
  </w:style>
  <w:style w:type="paragraph" w:styleId="TOC4">
    <w:name w:val="toc 4"/>
    <w:basedOn w:val="Normal"/>
    <w:next w:val="Normal"/>
    <w:rsid w:val="00476733"/>
    <w:pPr>
      <w:spacing w:before="60" w:after="60"/>
      <w:ind w:left="2722" w:right="851" w:hanging="794"/>
      <w:jc w:val="left"/>
    </w:pPr>
  </w:style>
  <w:style w:type="paragraph" w:styleId="TOC5">
    <w:name w:val="toc 5"/>
    <w:basedOn w:val="Normal"/>
    <w:next w:val="Normal"/>
    <w:rsid w:val="00476733"/>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hadow/>
      <w:szCs w:val="24"/>
      <w:lang w:val="en-US" w:eastAsia="ja-JP"/>
    </w:rPr>
  </w:style>
  <w:style w:type="paragraph" w:customStyle="1" w:styleId="AGHEAD1">
    <w:name w:val="AGHEAD1"/>
    <w:next w:val="Normal"/>
    <w:rsid w:val="00476733"/>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476733"/>
    <w:pPr>
      <w:tabs>
        <w:tab w:val="clear" w:pos="680"/>
      </w:tabs>
      <w:spacing w:before="480"/>
      <w:ind w:left="1361" w:firstLine="0"/>
    </w:pPr>
    <w:rPr>
      <w:caps/>
    </w:rPr>
  </w:style>
  <w:style w:type="paragraph" w:customStyle="1" w:styleId="AGHEAD4">
    <w:name w:val="AGHEAD4"/>
    <w:basedOn w:val="AGHEAD3"/>
    <w:next w:val="Normal"/>
    <w:rsid w:val="00476733"/>
    <w:pPr>
      <w:tabs>
        <w:tab w:val="left" w:pos="3119"/>
      </w:tabs>
      <w:ind w:left="2949"/>
    </w:pPr>
  </w:style>
  <w:style w:type="paragraph" w:styleId="BodyText2">
    <w:name w:val="Body Text 2"/>
    <w:basedOn w:val="NormalIndent"/>
    <w:next w:val="NormalIndent"/>
    <w:link w:val="BodyText2Char"/>
    <w:rsid w:val="00476733"/>
  </w:style>
  <w:style w:type="character" w:customStyle="1" w:styleId="BodyText2Char">
    <w:name w:val="Body Text 2 Char"/>
    <w:basedOn w:val="DefaultParagraphFont"/>
    <w:link w:val="BodyText2"/>
    <w:rsid w:val="00476733"/>
    <w:rPr>
      <w:rFonts w:ascii="Arial" w:hAnsi="Arial"/>
      <w:sz w:val="24"/>
      <w:lang w:eastAsia="en-US"/>
    </w:rPr>
  </w:style>
  <w:style w:type="paragraph" w:styleId="BodyText3">
    <w:name w:val="Body Text 3"/>
    <w:basedOn w:val="NormalIndent"/>
    <w:next w:val="NormalIndent"/>
    <w:link w:val="BodyText3Char"/>
    <w:rsid w:val="00476733"/>
  </w:style>
  <w:style w:type="character" w:customStyle="1" w:styleId="BodyText3Char">
    <w:name w:val="Body Text 3 Char"/>
    <w:basedOn w:val="DefaultParagraphFont"/>
    <w:link w:val="BodyText3"/>
    <w:rsid w:val="00476733"/>
    <w:rPr>
      <w:rFonts w:ascii="Arial" w:hAnsi="Arial"/>
      <w:sz w:val="24"/>
      <w:lang w:eastAsia="en-US"/>
    </w:rPr>
  </w:style>
  <w:style w:type="paragraph" w:styleId="BodyTextFirstIndent">
    <w:name w:val="Body Text First Indent"/>
    <w:basedOn w:val="NormalIndent"/>
    <w:next w:val="NormalIndent"/>
    <w:link w:val="BodyTextFirstIndentChar"/>
    <w:rsid w:val="00476733"/>
  </w:style>
  <w:style w:type="character" w:customStyle="1" w:styleId="BodyTextChar">
    <w:name w:val="Body Text Char"/>
    <w:basedOn w:val="DefaultParagraphFont"/>
    <w:link w:val="BodyText"/>
    <w:rsid w:val="00476733"/>
    <w:rPr>
      <w:rFonts w:ascii="Arial" w:hAnsi="Arial"/>
      <w:sz w:val="24"/>
      <w:lang w:eastAsia="en-US"/>
    </w:rPr>
  </w:style>
  <w:style w:type="character" w:customStyle="1" w:styleId="BodyTextFirstIndentChar">
    <w:name w:val="Body Text First Indent Char"/>
    <w:basedOn w:val="BodyTextChar"/>
    <w:link w:val="BodyTextFirstIndent"/>
    <w:rsid w:val="00476733"/>
    <w:rPr>
      <w:rFonts w:ascii="Arial" w:hAnsi="Arial"/>
      <w:sz w:val="24"/>
      <w:lang w:eastAsia="en-US"/>
    </w:rPr>
  </w:style>
  <w:style w:type="paragraph" w:styleId="BodyTextFirstIndent2">
    <w:name w:val="Body Text First Indent 2"/>
    <w:basedOn w:val="NormalIndent"/>
    <w:next w:val="NormalIndent"/>
    <w:link w:val="BodyTextFirstIndent2Char"/>
    <w:rsid w:val="00476733"/>
  </w:style>
  <w:style w:type="character" w:customStyle="1" w:styleId="BodyTextIndentChar">
    <w:name w:val="Body Text Indent Char"/>
    <w:basedOn w:val="BodyTextChar"/>
    <w:link w:val="BodyTextIndent"/>
    <w:rsid w:val="00476733"/>
    <w:rPr>
      <w:rFonts w:ascii="Arial" w:hAnsi="Arial"/>
      <w:sz w:val="24"/>
      <w:lang w:eastAsia="en-US"/>
    </w:rPr>
  </w:style>
  <w:style w:type="character" w:customStyle="1" w:styleId="BodyTextFirstIndent2Char">
    <w:name w:val="Body Text First Indent 2 Char"/>
    <w:basedOn w:val="BodyTextIndentChar"/>
    <w:link w:val="BodyTextFirstIndent2"/>
    <w:rsid w:val="00476733"/>
    <w:rPr>
      <w:rFonts w:ascii="Arial" w:hAnsi="Arial"/>
      <w:sz w:val="24"/>
      <w:lang w:eastAsia="en-US"/>
    </w:rPr>
  </w:style>
  <w:style w:type="paragraph" w:styleId="BodyTextIndent2">
    <w:name w:val="Body Text Indent 2"/>
    <w:basedOn w:val="NormalIndent"/>
    <w:next w:val="NormalIndent"/>
    <w:link w:val="BodyTextIndent2Char"/>
    <w:rsid w:val="00476733"/>
  </w:style>
  <w:style w:type="character" w:customStyle="1" w:styleId="BodyTextIndent2Char">
    <w:name w:val="Body Text Indent 2 Char"/>
    <w:basedOn w:val="DefaultParagraphFont"/>
    <w:link w:val="BodyTextIndent2"/>
    <w:rsid w:val="00476733"/>
    <w:rPr>
      <w:rFonts w:ascii="Arial" w:hAnsi="Arial"/>
      <w:sz w:val="24"/>
      <w:lang w:eastAsia="en-US"/>
    </w:rPr>
  </w:style>
  <w:style w:type="paragraph" w:styleId="BodyTextIndent3">
    <w:name w:val="Body Text Indent 3"/>
    <w:basedOn w:val="NormalIndent"/>
    <w:next w:val="NormalIndent"/>
    <w:link w:val="BodyTextIndent3Char"/>
    <w:rsid w:val="00476733"/>
  </w:style>
  <w:style w:type="character" w:customStyle="1" w:styleId="BodyTextIndent3Char">
    <w:name w:val="Body Text Indent 3 Char"/>
    <w:basedOn w:val="DefaultParagraphFont"/>
    <w:link w:val="BodyTextIndent3"/>
    <w:rsid w:val="00476733"/>
    <w:rPr>
      <w:rFonts w:ascii="Arial" w:hAnsi="Arial"/>
      <w:sz w:val="24"/>
      <w:lang w:eastAsia="en-US"/>
    </w:rPr>
  </w:style>
  <w:style w:type="paragraph" w:customStyle="1" w:styleId="FancyStyle">
    <w:name w:val="FancyStyle"/>
    <w:basedOn w:val="Normal"/>
    <w:rsid w:val="00476733"/>
    <w:pPr>
      <w:jc w:val="center"/>
    </w:pPr>
    <w:rPr>
      <w:rFonts w:ascii="Brush Script MT" w:hAnsi="Brush Script MT"/>
      <w:b/>
      <w:i/>
      <w:sz w:val="48"/>
    </w:rPr>
  </w:style>
  <w:style w:type="paragraph" w:customStyle="1" w:styleId="FILENO">
    <w:name w:val="FILENO"/>
    <w:basedOn w:val="Normal"/>
    <w:rsid w:val="00476733"/>
    <w:pPr>
      <w:tabs>
        <w:tab w:val="left" w:pos="3119"/>
      </w:tabs>
      <w:ind w:left="1702" w:hanging="851"/>
    </w:pPr>
    <w:rPr>
      <w:rFonts w:ascii="Univers" w:hAnsi="Univers"/>
      <w:caps/>
      <w:color w:val="000000"/>
      <w:sz w:val="22"/>
    </w:rPr>
  </w:style>
  <w:style w:type="paragraph" w:customStyle="1" w:styleId="Style1">
    <w:name w:val="Style1"/>
    <w:basedOn w:val="Normal"/>
    <w:rsid w:val="00476733"/>
    <w:pPr>
      <w:ind w:left="3686" w:hanging="2552"/>
      <w:jc w:val="left"/>
    </w:pPr>
  </w:style>
  <w:style w:type="paragraph" w:customStyle="1" w:styleId="Style2">
    <w:name w:val="Style2"/>
    <w:basedOn w:val="Normal"/>
    <w:rsid w:val="00476733"/>
    <w:pPr>
      <w:jc w:val="right"/>
    </w:pPr>
    <w:rPr>
      <w:b/>
      <w:caps/>
      <w:u w:val="single"/>
    </w:rPr>
  </w:style>
  <w:style w:type="numbering" w:styleId="111111">
    <w:name w:val="Outline List 2"/>
    <w:basedOn w:val="NoList"/>
    <w:rsid w:val="00476733"/>
    <w:pPr>
      <w:numPr>
        <w:numId w:val="2"/>
      </w:numPr>
    </w:pPr>
  </w:style>
  <w:style w:type="numbering" w:styleId="1ai">
    <w:name w:val="Outline List 1"/>
    <w:basedOn w:val="NoList"/>
    <w:rsid w:val="00476733"/>
    <w:pPr>
      <w:numPr>
        <w:numId w:val="3"/>
      </w:numPr>
    </w:pPr>
  </w:style>
  <w:style w:type="numbering" w:styleId="ArticleSection">
    <w:name w:val="Outline List 3"/>
    <w:basedOn w:val="NoList"/>
    <w:rsid w:val="00476733"/>
    <w:pPr>
      <w:numPr>
        <w:numId w:val="4"/>
      </w:numPr>
    </w:pPr>
  </w:style>
  <w:style w:type="paragraph" w:styleId="BalloonText">
    <w:name w:val="Balloon Text"/>
    <w:basedOn w:val="Normal"/>
    <w:link w:val="BalloonTextChar"/>
    <w:rsid w:val="00476733"/>
    <w:rPr>
      <w:rFonts w:ascii="Tahoma" w:hAnsi="Tahoma" w:cs="Tahoma"/>
      <w:sz w:val="16"/>
      <w:szCs w:val="16"/>
    </w:rPr>
  </w:style>
  <w:style w:type="character" w:customStyle="1" w:styleId="BalloonTextChar">
    <w:name w:val="Balloon Text Char"/>
    <w:basedOn w:val="DefaultParagraphFont"/>
    <w:link w:val="BalloonText"/>
    <w:rsid w:val="00476733"/>
    <w:rPr>
      <w:rFonts w:ascii="Tahoma" w:hAnsi="Tahoma" w:cs="Tahoma"/>
      <w:sz w:val="16"/>
      <w:szCs w:val="16"/>
      <w:lang w:eastAsia="en-US"/>
    </w:rPr>
  </w:style>
  <w:style w:type="paragraph" w:styleId="Bibliography">
    <w:name w:val="Bibliography"/>
    <w:basedOn w:val="Normal"/>
    <w:next w:val="Normal"/>
    <w:uiPriority w:val="37"/>
    <w:semiHidden/>
    <w:unhideWhenUsed/>
    <w:rsid w:val="00476733"/>
  </w:style>
  <w:style w:type="paragraph" w:styleId="BlockText">
    <w:name w:val="Block Text"/>
    <w:basedOn w:val="Normal"/>
    <w:rsid w:val="0047673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476733"/>
    <w:rPr>
      <w:b/>
      <w:bCs/>
      <w:smallCaps/>
      <w:spacing w:val="5"/>
    </w:rPr>
  </w:style>
  <w:style w:type="paragraph" w:styleId="Closing">
    <w:name w:val="Closing"/>
    <w:basedOn w:val="Normal"/>
    <w:link w:val="ClosingChar"/>
    <w:rsid w:val="00476733"/>
    <w:pPr>
      <w:ind w:left="4252"/>
    </w:pPr>
  </w:style>
  <w:style w:type="character" w:customStyle="1" w:styleId="ClosingChar">
    <w:name w:val="Closing Char"/>
    <w:basedOn w:val="DefaultParagraphFont"/>
    <w:link w:val="Closing"/>
    <w:rsid w:val="00476733"/>
    <w:rPr>
      <w:rFonts w:ascii="Arial" w:hAnsi="Arial"/>
      <w:sz w:val="24"/>
      <w:lang w:eastAsia="en-US"/>
    </w:rPr>
  </w:style>
  <w:style w:type="table" w:styleId="ColorfulGrid">
    <w:name w:val="Colorful Grid"/>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7673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7673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7673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7673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7673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7673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7673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7673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7673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7673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7673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7673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7673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7673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7673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476733"/>
    <w:rPr>
      <w:b/>
      <w:bCs/>
      <w:sz w:val="20"/>
    </w:rPr>
  </w:style>
  <w:style w:type="character" w:customStyle="1" w:styleId="CommentTextChar">
    <w:name w:val="Comment Text Char"/>
    <w:basedOn w:val="DefaultParagraphFont"/>
    <w:link w:val="CommentText"/>
    <w:semiHidden/>
    <w:rsid w:val="00476733"/>
    <w:rPr>
      <w:rFonts w:ascii="Arial" w:hAnsi="Arial"/>
      <w:sz w:val="24"/>
      <w:lang w:eastAsia="en-US"/>
    </w:rPr>
  </w:style>
  <w:style w:type="character" w:customStyle="1" w:styleId="CommentSubjectChar">
    <w:name w:val="Comment Subject Char"/>
    <w:basedOn w:val="CommentTextChar"/>
    <w:link w:val="CommentSubject"/>
    <w:rsid w:val="00476733"/>
    <w:rPr>
      <w:rFonts w:ascii="Arial" w:hAnsi="Arial"/>
      <w:b/>
      <w:bCs/>
      <w:sz w:val="24"/>
      <w:lang w:eastAsia="en-US"/>
    </w:rPr>
  </w:style>
  <w:style w:type="table" w:styleId="DarkList">
    <w:name w:val="Dark List"/>
    <w:basedOn w:val="TableNormal"/>
    <w:uiPriority w:val="70"/>
    <w:rsid w:val="0047673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7673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7673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7673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7673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7673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7673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76733"/>
  </w:style>
  <w:style w:type="character" w:customStyle="1" w:styleId="DateChar">
    <w:name w:val="Date Char"/>
    <w:basedOn w:val="DefaultParagraphFont"/>
    <w:link w:val="Date"/>
    <w:rsid w:val="00476733"/>
    <w:rPr>
      <w:rFonts w:ascii="Arial" w:hAnsi="Arial"/>
      <w:sz w:val="24"/>
      <w:lang w:eastAsia="en-US"/>
    </w:rPr>
  </w:style>
  <w:style w:type="paragraph" w:styleId="DocumentMap">
    <w:name w:val="Document Map"/>
    <w:basedOn w:val="Normal"/>
    <w:link w:val="DocumentMapChar"/>
    <w:rsid w:val="00476733"/>
    <w:rPr>
      <w:rFonts w:ascii="Tahoma" w:hAnsi="Tahoma" w:cs="Tahoma"/>
      <w:sz w:val="16"/>
      <w:szCs w:val="16"/>
    </w:rPr>
  </w:style>
  <w:style w:type="character" w:customStyle="1" w:styleId="DocumentMapChar">
    <w:name w:val="Document Map Char"/>
    <w:basedOn w:val="DefaultParagraphFont"/>
    <w:link w:val="DocumentMap"/>
    <w:rsid w:val="00476733"/>
    <w:rPr>
      <w:rFonts w:ascii="Tahoma" w:hAnsi="Tahoma" w:cs="Tahoma"/>
      <w:sz w:val="16"/>
      <w:szCs w:val="16"/>
      <w:lang w:eastAsia="en-US"/>
    </w:rPr>
  </w:style>
  <w:style w:type="paragraph" w:styleId="E-mailSignature">
    <w:name w:val="E-mail Signature"/>
    <w:basedOn w:val="Normal"/>
    <w:link w:val="E-mailSignatureChar"/>
    <w:rsid w:val="00476733"/>
  </w:style>
  <w:style w:type="character" w:customStyle="1" w:styleId="E-mailSignatureChar">
    <w:name w:val="E-mail Signature Char"/>
    <w:basedOn w:val="DefaultParagraphFont"/>
    <w:link w:val="E-mailSignature"/>
    <w:rsid w:val="00476733"/>
    <w:rPr>
      <w:rFonts w:ascii="Arial" w:hAnsi="Arial"/>
      <w:sz w:val="24"/>
      <w:lang w:eastAsia="en-US"/>
    </w:rPr>
  </w:style>
  <w:style w:type="paragraph" w:styleId="EnvelopeAddress">
    <w:name w:val="envelope address"/>
    <w:basedOn w:val="Normal"/>
    <w:rsid w:val="0047673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476733"/>
    <w:rPr>
      <w:rFonts w:asciiTheme="majorHAnsi" w:eastAsiaTheme="majorEastAsia" w:hAnsiTheme="majorHAnsi" w:cstheme="majorBidi"/>
      <w:sz w:val="20"/>
    </w:rPr>
  </w:style>
  <w:style w:type="character" w:styleId="FollowedHyperlink">
    <w:name w:val="FollowedHyperlink"/>
    <w:basedOn w:val="DefaultParagraphFont"/>
    <w:rsid w:val="00476733"/>
    <w:rPr>
      <w:color w:val="800080" w:themeColor="followedHyperlink"/>
      <w:u w:val="single"/>
    </w:rPr>
  </w:style>
  <w:style w:type="character" w:styleId="HTMLAcronym">
    <w:name w:val="HTML Acronym"/>
    <w:basedOn w:val="DefaultParagraphFont"/>
    <w:rsid w:val="00476733"/>
  </w:style>
  <w:style w:type="paragraph" w:styleId="HTMLAddress">
    <w:name w:val="HTML Address"/>
    <w:basedOn w:val="Normal"/>
    <w:link w:val="HTMLAddressChar"/>
    <w:rsid w:val="00476733"/>
    <w:rPr>
      <w:i/>
      <w:iCs/>
    </w:rPr>
  </w:style>
  <w:style w:type="character" w:customStyle="1" w:styleId="HTMLAddressChar">
    <w:name w:val="HTML Address Char"/>
    <w:basedOn w:val="DefaultParagraphFont"/>
    <w:link w:val="HTMLAddress"/>
    <w:rsid w:val="00476733"/>
    <w:rPr>
      <w:rFonts w:ascii="Arial" w:hAnsi="Arial"/>
      <w:i/>
      <w:iCs/>
      <w:sz w:val="24"/>
      <w:lang w:eastAsia="en-US"/>
    </w:rPr>
  </w:style>
  <w:style w:type="character" w:styleId="HTMLCite">
    <w:name w:val="HTML Cite"/>
    <w:basedOn w:val="DefaultParagraphFont"/>
    <w:rsid w:val="00476733"/>
    <w:rPr>
      <w:i/>
      <w:iCs/>
    </w:rPr>
  </w:style>
  <w:style w:type="character" w:styleId="HTMLCode">
    <w:name w:val="HTML Code"/>
    <w:basedOn w:val="DefaultParagraphFont"/>
    <w:rsid w:val="00476733"/>
    <w:rPr>
      <w:rFonts w:ascii="Consolas" w:hAnsi="Consolas"/>
      <w:sz w:val="20"/>
      <w:szCs w:val="20"/>
    </w:rPr>
  </w:style>
  <w:style w:type="character" w:styleId="HTMLDefinition">
    <w:name w:val="HTML Definition"/>
    <w:basedOn w:val="DefaultParagraphFont"/>
    <w:rsid w:val="00476733"/>
    <w:rPr>
      <w:i/>
      <w:iCs/>
    </w:rPr>
  </w:style>
  <w:style w:type="character" w:styleId="HTMLKeyboard">
    <w:name w:val="HTML Keyboard"/>
    <w:basedOn w:val="DefaultParagraphFont"/>
    <w:rsid w:val="00476733"/>
    <w:rPr>
      <w:rFonts w:ascii="Consolas" w:hAnsi="Consolas"/>
      <w:sz w:val="20"/>
      <w:szCs w:val="20"/>
    </w:rPr>
  </w:style>
  <w:style w:type="paragraph" w:styleId="HTMLPreformatted">
    <w:name w:val="HTML Preformatted"/>
    <w:basedOn w:val="Normal"/>
    <w:link w:val="HTMLPreformattedChar"/>
    <w:rsid w:val="00476733"/>
    <w:rPr>
      <w:rFonts w:ascii="Consolas" w:hAnsi="Consolas"/>
      <w:sz w:val="20"/>
    </w:rPr>
  </w:style>
  <w:style w:type="character" w:customStyle="1" w:styleId="HTMLPreformattedChar">
    <w:name w:val="HTML Preformatted Char"/>
    <w:basedOn w:val="DefaultParagraphFont"/>
    <w:link w:val="HTMLPreformatted"/>
    <w:rsid w:val="00476733"/>
    <w:rPr>
      <w:rFonts w:ascii="Consolas" w:hAnsi="Consolas"/>
      <w:lang w:eastAsia="en-US"/>
    </w:rPr>
  </w:style>
  <w:style w:type="character" w:styleId="HTMLSample">
    <w:name w:val="HTML Sample"/>
    <w:basedOn w:val="DefaultParagraphFont"/>
    <w:rsid w:val="00476733"/>
    <w:rPr>
      <w:rFonts w:ascii="Consolas" w:hAnsi="Consolas"/>
      <w:sz w:val="24"/>
      <w:szCs w:val="24"/>
    </w:rPr>
  </w:style>
  <w:style w:type="character" w:styleId="HTMLTypewriter">
    <w:name w:val="HTML Typewriter"/>
    <w:basedOn w:val="DefaultParagraphFont"/>
    <w:rsid w:val="00476733"/>
    <w:rPr>
      <w:rFonts w:ascii="Consolas" w:hAnsi="Consolas"/>
      <w:sz w:val="20"/>
      <w:szCs w:val="20"/>
    </w:rPr>
  </w:style>
  <w:style w:type="character" w:styleId="HTMLVariable">
    <w:name w:val="HTML Variable"/>
    <w:basedOn w:val="DefaultParagraphFont"/>
    <w:rsid w:val="00476733"/>
    <w:rPr>
      <w:i/>
      <w:iCs/>
    </w:rPr>
  </w:style>
  <w:style w:type="character" w:styleId="Hyperlink">
    <w:name w:val="Hyperlink"/>
    <w:basedOn w:val="DefaultParagraphFont"/>
    <w:rsid w:val="00476733"/>
    <w:rPr>
      <w:color w:val="0000FF" w:themeColor="hyperlink"/>
      <w:u w:val="single"/>
    </w:rPr>
  </w:style>
  <w:style w:type="paragraph" w:styleId="Index6">
    <w:name w:val="index 6"/>
    <w:basedOn w:val="Normal"/>
    <w:next w:val="Normal"/>
    <w:rsid w:val="00476733"/>
    <w:pPr>
      <w:ind w:left="1440" w:hanging="240"/>
    </w:pPr>
  </w:style>
  <w:style w:type="paragraph" w:styleId="Index7">
    <w:name w:val="index 7"/>
    <w:basedOn w:val="Normal"/>
    <w:next w:val="Normal"/>
    <w:rsid w:val="00476733"/>
    <w:pPr>
      <w:ind w:left="1680" w:hanging="240"/>
    </w:pPr>
  </w:style>
  <w:style w:type="paragraph" w:styleId="Index8">
    <w:name w:val="index 8"/>
    <w:basedOn w:val="Normal"/>
    <w:next w:val="Normal"/>
    <w:rsid w:val="00476733"/>
    <w:pPr>
      <w:ind w:left="1920" w:hanging="240"/>
    </w:pPr>
  </w:style>
  <w:style w:type="paragraph" w:styleId="Index9">
    <w:name w:val="index 9"/>
    <w:basedOn w:val="Normal"/>
    <w:next w:val="Normal"/>
    <w:rsid w:val="00476733"/>
    <w:pPr>
      <w:ind w:left="2160" w:hanging="240"/>
    </w:pPr>
  </w:style>
  <w:style w:type="character" w:styleId="IntenseEmphasis">
    <w:name w:val="Intense Emphasis"/>
    <w:basedOn w:val="DefaultParagraphFont"/>
    <w:uiPriority w:val="21"/>
    <w:qFormat/>
    <w:rsid w:val="00476733"/>
    <w:rPr>
      <w:b/>
      <w:bCs/>
      <w:i/>
      <w:iCs/>
      <w:color w:val="4F81BD" w:themeColor="accent1"/>
    </w:rPr>
  </w:style>
  <w:style w:type="paragraph" w:styleId="IntenseQuote">
    <w:name w:val="Intense Quote"/>
    <w:basedOn w:val="Normal"/>
    <w:next w:val="Normal"/>
    <w:link w:val="IntenseQuoteChar"/>
    <w:uiPriority w:val="30"/>
    <w:qFormat/>
    <w:rsid w:val="004767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6733"/>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476733"/>
    <w:rPr>
      <w:b/>
      <w:bCs/>
      <w:smallCaps/>
      <w:color w:val="C0504D" w:themeColor="accent2"/>
      <w:spacing w:val="5"/>
      <w:u w:val="single"/>
    </w:rPr>
  </w:style>
  <w:style w:type="table" w:styleId="LightGrid">
    <w:name w:val="Light Grid"/>
    <w:basedOn w:val="TableNormal"/>
    <w:uiPriority w:val="62"/>
    <w:rsid w:val="004767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7673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7673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767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767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7673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7673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767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7673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7673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767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7673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7673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7673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7673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7673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7673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767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7673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7673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673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Bullet point"/>
    <w:basedOn w:val="Normal"/>
    <w:link w:val="ListParagraphChar"/>
    <w:uiPriority w:val="34"/>
    <w:qFormat/>
    <w:rsid w:val="00476733"/>
    <w:pPr>
      <w:ind w:left="720"/>
      <w:contextualSpacing/>
    </w:pPr>
  </w:style>
  <w:style w:type="table" w:styleId="MediumGrid1">
    <w:name w:val="Medium Grid 1"/>
    <w:basedOn w:val="TableNormal"/>
    <w:uiPriority w:val="67"/>
    <w:rsid w:val="004767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7673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7673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7673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7673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7673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7673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7673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7673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7673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7673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7673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7673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7673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7673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7673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7673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7673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7673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7673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7673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7673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7673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7673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7673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476733"/>
    <w:pPr>
      <w:jc w:val="both"/>
    </w:pPr>
    <w:rPr>
      <w:rFonts w:ascii="Arial" w:hAnsi="Arial"/>
      <w:sz w:val="24"/>
      <w:lang w:eastAsia="en-US"/>
    </w:rPr>
  </w:style>
  <w:style w:type="paragraph" w:styleId="NormalWeb">
    <w:name w:val="Normal (Web)"/>
    <w:basedOn w:val="Normal"/>
    <w:uiPriority w:val="99"/>
    <w:rsid w:val="00476733"/>
    <w:rPr>
      <w:rFonts w:ascii="Times New Roman" w:hAnsi="Times New Roman"/>
      <w:szCs w:val="24"/>
    </w:rPr>
  </w:style>
  <w:style w:type="paragraph" w:styleId="NoteHeading">
    <w:name w:val="Note Heading"/>
    <w:basedOn w:val="Normal"/>
    <w:next w:val="Normal"/>
    <w:link w:val="NoteHeadingChar"/>
    <w:rsid w:val="00476733"/>
  </w:style>
  <w:style w:type="character" w:customStyle="1" w:styleId="NoteHeadingChar">
    <w:name w:val="Note Heading Char"/>
    <w:basedOn w:val="DefaultParagraphFont"/>
    <w:link w:val="NoteHeading"/>
    <w:rsid w:val="00476733"/>
    <w:rPr>
      <w:rFonts w:ascii="Arial" w:hAnsi="Arial"/>
      <w:sz w:val="24"/>
      <w:lang w:eastAsia="en-US"/>
    </w:rPr>
  </w:style>
  <w:style w:type="character" w:styleId="PlaceholderText">
    <w:name w:val="Placeholder Text"/>
    <w:basedOn w:val="DefaultParagraphFont"/>
    <w:uiPriority w:val="99"/>
    <w:semiHidden/>
    <w:rsid w:val="00476733"/>
    <w:rPr>
      <w:color w:val="808080"/>
    </w:rPr>
  </w:style>
  <w:style w:type="paragraph" w:styleId="PlainText">
    <w:name w:val="Plain Text"/>
    <w:basedOn w:val="Normal"/>
    <w:link w:val="PlainTextChar"/>
    <w:uiPriority w:val="99"/>
    <w:rsid w:val="00476733"/>
    <w:rPr>
      <w:rFonts w:ascii="Consolas" w:hAnsi="Consolas"/>
      <w:sz w:val="21"/>
      <w:szCs w:val="21"/>
    </w:rPr>
  </w:style>
  <w:style w:type="character" w:customStyle="1" w:styleId="PlainTextChar">
    <w:name w:val="Plain Text Char"/>
    <w:basedOn w:val="DefaultParagraphFont"/>
    <w:link w:val="PlainText"/>
    <w:uiPriority w:val="99"/>
    <w:rsid w:val="00476733"/>
    <w:rPr>
      <w:rFonts w:ascii="Consolas" w:hAnsi="Consolas"/>
      <w:sz w:val="21"/>
      <w:szCs w:val="21"/>
      <w:lang w:eastAsia="en-US"/>
    </w:rPr>
  </w:style>
  <w:style w:type="paragraph" w:styleId="Quote">
    <w:name w:val="Quote"/>
    <w:basedOn w:val="Normal"/>
    <w:next w:val="Normal"/>
    <w:link w:val="QuoteChar"/>
    <w:uiPriority w:val="29"/>
    <w:qFormat/>
    <w:rsid w:val="00476733"/>
    <w:rPr>
      <w:i/>
      <w:iCs/>
      <w:color w:val="000000" w:themeColor="text1"/>
    </w:rPr>
  </w:style>
  <w:style w:type="character" w:customStyle="1" w:styleId="QuoteChar">
    <w:name w:val="Quote Char"/>
    <w:basedOn w:val="DefaultParagraphFont"/>
    <w:link w:val="Quote"/>
    <w:uiPriority w:val="29"/>
    <w:rsid w:val="00476733"/>
    <w:rPr>
      <w:rFonts w:ascii="Arial" w:hAnsi="Arial"/>
      <w:i/>
      <w:iCs/>
      <w:color w:val="000000" w:themeColor="text1"/>
      <w:sz w:val="24"/>
      <w:lang w:eastAsia="en-US"/>
    </w:rPr>
  </w:style>
  <w:style w:type="paragraph" w:styleId="Salutation">
    <w:name w:val="Salutation"/>
    <w:basedOn w:val="Normal"/>
    <w:next w:val="Normal"/>
    <w:link w:val="SalutationChar"/>
    <w:rsid w:val="00476733"/>
  </w:style>
  <w:style w:type="character" w:customStyle="1" w:styleId="SalutationChar">
    <w:name w:val="Salutation Char"/>
    <w:basedOn w:val="DefaultParagraphFont"/>
    <w:link w:val="Salutation"/>
    <w:rsid w:val="00476733"/>
    <w:rPr>
      <w:rFonts w:ascii="Arial" w:hAnsi="Arial"/>
      <w:sz w:val="24"/>
      <w:lang w:eastAsia="en-US"/>
    </w:rPr>
  </w:style>
  <w:style w:type="paragraph" w:styleId="Signature">
    <w:name w:val="Signature"/>
    <w:basedOn w:val="Normal"/>
    <w:link w:val="SignatureChar"/>
    <w:rsid w:val="00476733"/>
    <w:pPr>
      <w:ind w:left="4252"/>
    </w:pPr>
  </w:style>
  <w:style w:type="character" w:customStyle="1" w:styleId="SignatureChar">
    <w:name w:val="Signature Char"/>
    <w:basedOn w:val="DefaultParagraphFont"/>
    <w:link w:val="Signature"/>
    <w:rsid w:val="00476733"/>
    <w:rPr>
      <w:rFonts w:ascii="Arial" w:hAnsi="Arial"/>
      <w:sz w:val="24"/>
      <w:lang w:eastAsia="en-US"/>
    </w:rPr>
  </w:style>
  <w:style w:type="character" w:styleId="Strong">
    <w:name w:val="Strong"/>
    <w:basedOn w:val="DefaultParagraphFont"/>
    <w:qFormat/>
    <w:rsid w:val="00476733"/>
    <w:rPr>
      <w:b/>
      <w:bCs/>
    </w:rPr>
  </w:style>
  <w:style w:type="character" w:styleId="SubtleEmphasis">
    <w:name w:val="Subtle Emphasis"/>
    <w:basedOn w:val="DefaultParagraphFont"/>
    <w:uiPriority w:val="19"/>
    <w:qFormat/>
    <w:rsid w:val="00476733"/>
    <w:rPr>
      <w:i/>
      <w:iCs/>
      <w:color w:val="808080" w:themeColor="text1" w:themeTint="7F"/>
    </w:rPr>
  </w:style>
  <w:style w:type="character" w:styleId="SubtleReference">
    <w:name w:val="Subtle Reference"/>
    <w:basedOn w:val="DefaultParagraphFont"/>
    <w:uiPriority w:val="31"/>
    <w:qFormat/>
    <w:rsid w:val="00476733"/>
    <w:rPr>
      <w:smallCaps/>
      <w:color w:val="C0504D" w:themeColor="accent2"/>
      <w:u w:val="single"/>
    </w:rPr>
  </w:style>
  <w:style w:type="table" w:styleId="Table3Deffects1">
    <w:name w:val="Table 3D effects 1"/>
    <w:basedOn w:val="TableNormal"/>
    <w:rsid w:val="0047673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673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673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7673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673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673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673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673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673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673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673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673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673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673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673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7673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673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76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4767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673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673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673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673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673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673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673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673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673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673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673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673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673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673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673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7673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7673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673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673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673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673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767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7673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673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673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476733"/>
    <w:pPr>
      <w:spacing w:after="100"/>
      <w:ind w:left="1200"/>
    </w:pPr>
  </w:style>
  <w:style w:type="paragraph" w:styleId="TOC7">
    <w:name w:val="toc 7"/>
    <w:basedOn w:val="Normal"/>
    <w:next w:val="Normal"/>
    <w:rsid w:val="00476733"/>
    <w:pPr>
      <w:spacing w:after="100"/>
      <w:ind w:left="1440"/>
    </w:pPr>
  </w:style>
  <w:style w:type="paragraph" w:styleId="TOC8">
    <w:name w:val="toc 8"/>
    <w:basedOn w:val="Normal"/>
    <w:next w:val="Normal"/>
    <w:rsid w:val="00476733"/>
    <w:pPr>
      <w:spacing w:after="100"/>
      <w:ind w:left="1680"/>
    </w:pPr>
  </w:style>
  <w:style w:type="paragraph" w:styleId="TOC9">
    <w:name w:val="toc 9"/>
    <w:basedOn w:val="Normal"/>
    <w:next w:val="Normal"/>
    <w:rsid w:val="00476733"/>
    <w:pPr>
      <w:spacing w:after="100"/>
      <w:ind w:left="1920"/>
    </w:pPr>
  </w:style>
  <w:style w:type="paragraph" w:styleId="TOCHeading">
    <w:name w:val="TOC Heading"/>
    <w:basedOn w:val="Heading1"/>
    <w:next w:val="Normal"/>
    <w:uiPriority w:val="39"/>
    <w:semiHidden/>
    <w:unhideWhenUsed/>
    <w:qFormat/>
    <w:rsid w:val="00476733"/>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callout1">
    <w:name w:val="callout 1"/>
    <w:basedOn w:val="CommentText"/>
    <w:rsid w:val="00476733"/>
    <w:pPr>
      <w:jc w:val="center"/>
    </w:pPr>
  </w:style>
  <w:style w:type="paragraph" w:customStyle="1" w:styleId="amHeading2">
    <w:name w:val="amHeading2"/>
    <w:basedOn w:val="Heading2"/>
    <w:rsid w:val="00476733"/>
    <w:pPr>
      <w:numPr>
        <w:ilvl w:val="0"/>
        <w:numId w:val="0"/>
      </w:numPr>
      <w:tabs>
        <w:tab w:val="left" w:pos="0"/>
        <w:tab w:val="left" w:pos="1440"/>
        <w:tab w:val="left" w:pos="5760"/>
      </w:tabs>
      <w:spacing w:before="60"/>
      <w:ind w:left="1440" w:hanging="720"/>
      <w:jc w:val="left"/>
      <w:outlineLvl w:val="9"/>
    </w:pPr>
  </w:style>
  <w:style w:type="paragraph" w:customStyle="1" w:styleId="agheading2">
    <w:name w:val="agheading2"/>
    <w:basedOn w:val="Normal"/>
    <w:rsid w:val="00476733"/>
    <w:pPr>
      <w:ind w:left="283" w:hanging="283"/>
    </w:pPr>
    <w:rPr>
      <w:spacing w:val="-2"/>
      <w:sz w:val="28"/>
    </w:rPr>
  </w:style>
  <w:style w:type="paragraph" w:customStyle="1" w:styleId="agheading1">
    <w:name w:val="agheading1"/>
    <w:basedOn w:val="Normal"/>
    <w:rsid w:val="00476733"/>
    <w:pPr>
      <w:ind w:left="720" w:hanging="720"/>
      <w:jc w:val="left"/>
    </w:pPr>
    <w:rPr>
      <w:b/>
      <w:sz w:val="28"/>
      <w:u w:val="single"/>
      <w:lang w:val="en-GB"/>
    </w:rPr>
  </w:style>
  <w:style w:type="paragraph" w:customStyle="1" w:styleId="AGHEAD11">
    <w:name w:val="AGHEAD1.1"/>
    <w:basedOn w:val="AGHEAD1"/>
    <w:next w:val="Normal"/>
    <w:rsid w:val="00476733"/>
  </w:style>
  <w:style w:type="paragraph" w:customStyle="1" w:styleId="Pa0">
    <w:name w:val="Pa0"/>
    <w:basedOn w:val="Normal"/>
    <w:next w:val="Normal"/>
    <w:uiPriority w:val="99"/>
    <w:rsid w:val="00476733"/>
    <w:pPr>
      <w:autoSpaceDE w:val="0"/>
      <w:autoSpaceDN w:val="0"/>
      <w:adjustRightInd w:val="0"/>
      <w:spacing w:line="241" w:lineRule="atLeast"/>
      <w:jc w:val="left"/>
    </w:pPr>
    <w:rPr>
      <w:rFonts w:eastAsia="Calibri" w:cs="Arial"/>
      <w:szCs w:val="24"/>
    </w:rPr>
  </w:style>
  <w:style w:type="paragraph" w:customStyle="1" w:styleId="commentarybody">
    <w:name w:val="commentary body"/>
    <w:basedOn w:val="Normal"/>
    <w:link w:val="commentarybodyChar"/>
    <w:rsid w:val="00476733"/>
    <w:pPr>
      <w:ind w:left="284"/>
      <w:jc w:val="left"/>
    </w:pPr>
    <w:rPr>
      <w:rFonts w:ascii="Verdana" w:hAnsi="Verdana"/>
      <w:sz w:val="18"/>
    </w:rPr>
  </w:style>
  <w:style w:type="character" w:customStyle="1" w:styleId="commentarybodyChar">
    <w:name w:val="commentary body Char"/>
    <w:link w:val="commentarybody"/>
    <w:rsid w:val="00476733"/>
    <w:rPr>
      <w:rFonts w:ascii="Verdana" w:hAnsi="Verdana"/>
      <w:sz w:val="18"/>
      <w:lang w:eastAsia="en-US"/>
    </w:rPr>
  </w:style>
  <w:style w:type="character" w:customStyle="1" w:styleId="Heading1Char">
    <w:name w:val="Heading 1 Char"/>
    <w:link w:val="Heading1"/>
    <w:rsid w:val="00476733"/>
    <w:rPr>
      <w:rFonts w:ascii="Univers" w:hAnsi="Univers"/>
      <w:kern w:val="28"/>
      <w:sz w:val="22"/>
      <w:lang w:eastAsia="en-US"/>
    </w:rPr>
  </w:style>
  <w:style w:type="character" w:customStyle="1" w:styleId="Heading2Char">
    <w:name w:val="Heading 2 Char"/>
    <w:link w:val="Heading2"/>
    <w:rsid w:val="00476733"/>
    <w:rPr>
      <w:rFonts w:ascii="Univers" w:hAnsi="Univers"/>
      <w:caps/>
      <w:sz w:val="22"/>
      <w:lang w:eastAsia="en-US"/>
    </w:rPr>
  </w:style>
  <w:style w:type="character" w:customStyle="1" w:styleId="Heading3Char">
    <w:name w:val="Heading 3 Char"/>
    <w:link w:val="Heading3"/>
    <w:rsid w:val="00476733"/>
    <w:rPr>
      <w:rFonts w:ascii="Univers" w:hAnsi="Univers"/>
      <w:caps/>
      <w:sz w:val="22"/>
      <w:lang w:eastAsia="en-US"/>
    </w:rPr>
  </w:style>
  <w:style w:type="character" w:customStyle="1" w:styleId="Heading4Char">
    <w:name w:val="Heading 4 Char"/>
    <w:link w:val="Heading4"/>
    <w:rsid w:val="00476733"/>
    <w:rPr>
      <w:rFonts w:ascii="Arial" w:hAnsi="Arial"/>
      <w:b/>
      <w:i/>
      <w:sz w:val="22"/>
      <w:lang w:eastAsia="en-US"/>
    </w:rPr>
  </w:style>
  <w:style w:type="character" w:customStyle="1" w:styleId="Heading5Char">
    <w:name w:val="Heading 5 Char"/>
    <w:link w:val="Heading5"/>
    <w:rsid w:val="00476733"/>
    <w:rPr>
      <w:rFonts w:ascii="Univers" w:hAnsi="Univers"/>
      <w:sz w:val="22"/>
      <w:lang w:eastAsia="en-US"/>
    </w:rPr>
  </w:style>
  <w:style w:type="character" w:customStyle="1" w:styleId="Heading6Char">
    <w:name w:val="Heading 6 Char"/>
    <w:link w:val="Heading6"/>
    <w:rsid w:val="00476733"/>
    <w:rPr>
      <w:rFonts w:ascii="Univers" w:hAnsi="Univers"/>
      <w:i/>
      <w:sz w:val="22"/>
      <w:lang w:eastAsia="en-US"/>
    </w:rPr>
  </w:style>
  <w:style w:type="character" w:customStyle="1" w:styleId="Heading7Char">
    <w:name w:val="Heading 7 Char"/>
    <w:link w:val="Heading7"/>
    <w:rsid w:val="00476733"/>
    <w:rPr>
      <w:rFonts w:ascii="Univers" w:hAnsi="Univers"/>
      <w:sz w:val="24"/>
      <w:lang w:eastAsia="en-US"/>
    </w:rPr>
  </w:style>
  <w:style w:type="character" w:customStyle="1" w:styleId="Heading8Char">
    <w:name w:val="Heading 8 Char"/>
    <w:link w:val="Heading8"/>
    <w:rsid w:val="00476733"/>
    <w:rPr>
      <w:rFonts w:ascii="Univers" w:hAnsi="Univers"/>
      <w:i/>
      <w:sz w:val="24"/>
      <w:lang w:eastAsia="en-US"/>
    </w:rPr>
  </w:style>
  <w:style w:type="character" w:customStyle="1" w:styleId="Heading9Char">
    <w:name w:val="Heading 9 Char"/>
    <w:link w:val="Heading9"/>
    <w:rsid w:val="00476733"/>
    <w:rPr>
      <w:rFonts w:ascii="Univers" w:hAnsi="Univers"/>
      <w:i/>
      <w:sz w:val="18"/>
      <w:lang w:eastAsia="en-US"/>
    </w:rPr>
  </w:style>
  <w:style w:type="character" w:customStyle="1" w:styleId="EndnoteTextChar">
    <w:name w:val="Endnote Text Char"/>
    <w:basedOn w:val="DefaultParagraphFont"/>
    <w:link w:val="EndnoteText"/>
    <w:rsid w:val="00476733"/>
    <w:rPr>
      <w:rFonts w:ascii="Paramount" w:hAnsi="Paramount"/>
      <w:sz w:val="18"/>
      <w:lang w:val="en-GB" w:eastAsia="en-US"/>
    </w:rPr>
  </w:style>
  <w:style w:type="character" w:customStyle="1" w:styleId="FooterChar">
    <w:name w:val="Footer Char"/>
    <w:link w:val="Footer"/>
    <w:rsid w:val="00476733"/>
    <w:rPr>
      <w:rFonts w:ascii="Arial" w:hAnsi="Arial"/>
      <w:b/>
      <w:sz w:val="24"/>
      <w:lang w:eastAsia="en-US"/>
    </w:rPr>
  </w:style>
  <w:style w:type="character" w:customStyle="1" w:styleId="FootnoteTextChar">
    <w:name w:val="Footnote Text Char"/>
    <w:basedOn w:val="DefaultParagraphFont"/>
    <w:link w:val="FootnoteText"/>
    <w:rsid w:val="00476733"/>
    <w:rPr>
      <w:rFonts w:ascii="Paramount" w:hAnsi="Paramount"/>
      <w:sz w:val="18"/>
      <w:lang w:val="en-GB" w:eastAsia="en-US"/>
    </w:rPr>
  </w:style>
  <w:style w:type="character" w:customStyle="1" w:styleId="HeaderChar">
    <w:name w:val="Header Char"/>
    <w:link w:val="Header"/>
    <w:rsid w:val="00476733"/>
    <w:rPr>
      <w:rFonts w:ascii="Arial" w:hAnsi="Arial"/>
      <w:sz w:val="24"/>
      <w:lang w:eastAsia="en-US"/>
    </w:rPr>
  </w:style>
  <w:style w:type="character" w:customStyle="1" w:styleId="MacroTextChar">
    <w:name w:val="Macro Text Char"/>
    <w:basedOn w:val="DefaultParagraphFont"/>
    <w:link w:val="MacroText"/>
    <w:rsid w:val="00476733"/>
    <w:rPr>
      <w:rFonts w:ascii="Courier New" w:hAnsi="Courier New"/>
      <w:lang w:val="en-GB" w:eastAsia="en-US"/>
    </w:rPr>
  </w:style>
  <w:style w:type="character" w:customStyle="1" w:styleId="MessageHeaderChar">
    <w:name w:val="Message Header Char"/>
    <w:basedOn w:val="DefaultParagraphFont"/>
    <w:link w:val="MessageHeader"/>
    <w:rsid w:val="00476733"/>
    <w:rPr>
      <w:rFonts w:ascii="Arial" w:hAnsi="Arial"/>
      <w:sz w:val="22"/>
      <w:lang w:eastAsia="en-US"/>
    </w:rPr>
  </w:style>
  <w:style w:type="character" w:customStyle="1" w:styleId="SubtitleChar">
    <w:name w:val="Subtitle Char"/>
    <w:basedOn w:val="DefaultParagraphFont"/>
    <w:link w:val="Subtitle"/>
    <w:rsid w:val="00476733"/>
    <w:rPr>
      <w:rFonts w:ascii="Arial" w:hAnsi="Arial" w:cs="Arial"/>
      <w:b/>
      <w:bCs/>
      <w:i/>
      <w:spacing w:val="-14"/>
      <w:kern w:val="28"/>
      <w:sz w:val="34"/>
      <w:szCs w:val="32"/>
      <w:lang w:eastAsia="en-US"/>
    </w:rPr>
  </w:style>
  <w:style w:type="character" w:customStyle="1" w:styleId="TitleChar">
    <w:name w:val="Title Char"/>
    <w:link w:val="Title"/>
    <w:rsid w:val="00476733"/>
    <w:rPr>
      <w:rFonts w:ascii="Arial" w:hAnsi="Arial" w:cs="Arial"/>
      <w:b/>
      <w:bCs/>
      <w:kern w:val="28"/>
      <w:sz w:val="32"/>
      <w:szCs w:val="32"/>
      <w:lang w:eastAsia="en-US"/>
    </w:rPr>
  </w:style>
  <w:style w:type="character" w:customStyle="1" w:styleId="CommentTextChar1">
    <w:name w:val="Comment Text Char1"/>
    <w:basedOn w:val="DefaultParagraphFont"/>
    <w:semiHidden/>
    <w:rsid w:val="00476733"/>
    <w:rPr>
      <w:rFonts w:ascii="Arial" w:hAnsi="Arial"/>
      <w:sz w:val="24"/>
      <w:lang w:eastAsia="en-US"/>
    </w:rPr>
  </w:style>
  <w:style w:type="character" w:customStyle="1" w:styleId="ListParagraphChar">
    <w:name w:val="List Paragraph Char"/>
    <w:aliases w:val="Bullet point Char"/>
    <w:link w:val="ListParagraph"/>
    <w:uiPriority w:val="34"/>
    <w:locked/>
    <w:rsid w:val="00476733"/>
    <w:rPr>
      <w:rFonts w:ascii="Arial" w:hAnsi="Arial"/>
      <w:sz w:val="24"/>
      <w:lang w:eastAsia="en-US"/>
    </w:rPr>
  </w:style>
  <w:style w:type="paragraph" w:customStyle="1" w:styleId="Default">
    <w:name w:val="Default"/>
    <w:rsid w:val="00476733"/>
    <w:pPr>
      <w:autoSpaceDE w:val="0"/>
      <w:autoSpaceDN w:val="0"/>
      <w:adjustRightInd w:val="0"/>
    </w:pPr>
    <w:rPr>
      <w:rFonts w:ascii="Arial" w:hAnsi="Arial" w:cs="Arial"/>
      <w:color w:val="000000"/>
      <w:sz w:val="24"/>
      <w:szCs w:val="24"/>
    </w:rPr>
  </w:style>
  <w:style w:type="table" w:customStyle="1" w:styleId="LightList1">
    <w:name w:val="Light List1"/>
    <w:basedOn w:val="TableNormal"/>
    <w:next w:val="LightList"/>
    <w:uiPriority w:val="61"/>
    <w:rsid w:val="00476733"/>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HEAD2">
    <w:name w:val="1ai"/>
    <w:pPr>
      <w:numPr>
        <w:numId w:val="3"/>
      </w:numPr>
    </w:pPr>
  </w:style>
  <w:style w:type="numbering" w:customStyle="1" w:styleId="CommentReference">
    <w:name w:val="ArticleSection"/>
    <w:pPr>
      <w:numPr>
        <w:numId w:val="4"/>
      </w:numPr>
    </w:pPr>
  </w:style>
  <w:style w:type="numbering" w:customStyle="1" w:styleId="CommentText">
    <w:name w:val="11111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ckburn.wa.gov.au/rpaec/businessplan"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standardagm.dotm</Template>
  <TotalTime>1</TotalTime>
  <Pages>37</Pages>
  <Words>9674</Words>
  <Characters>52357</Characters>
  <Application>Microsoft Office Word</Application>
  <DocSecurity>8</DocSecurity>
  <Lines>2149</Lines>
  <Paragraphs>1054</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61259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Bernie</dc:creator>
  <cp:lastModifiedBy>Bernie</cp:lastModifiedBy>
  <cp:revision>3</cp:revision>
  <cp:lastPrinted>2016-06-27T05:41:00Z</cp:lastPrinted>
  <dcterms:created xsi:type="dcterms:W3CDTF">2016-06-27T07:23:00Z</dcterms:created>
  <dcterms:modified xsi:type="dcterms:W3CDTF">2016-06-27T07:25:00Z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