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77C60" w14:textId="77777777" w:rsidR="002C4BAD" w:rsidRDefault="00DD2318" w:rsidP="00DD2318">
      <w:pPr>
        <w:pStyle w:val="Title"/>
        <w:rPr>
          <w:b/>
        </w:rPr>
      </w:pPr>
      <w:r>
        <w:rPr>
          <w:b/>
        </w:rPr>
        <w:t xml:space="preserve">Policy </w:t>
      </w:r>
    </w:p>
    <w:p w14:paraId="7932FA30" w14:textId="77777777" w:rsidR="00E80AB0" w:rsidRDefault="00E80AB0" w:rsidP="00DD2318">
      <w:pPr>
        <w:pStyle w:val="Title"/>
      </w:pPr>
      <w:r>
        <w:t xml:space="preserve">Single House Standards for Medium Density </w:t>
      </w:r>
    </w:p>
    <w:p w14:paraId="54AB6230" w14:textId="2CBA1135" w:rsidR="00DD2318" w:rsidRDefault="00E80AB0" w:rsidP="00DD2318">
      <w:pPr>
        <w:pStyle w:val="Title"/>
      </w:pPr>
      <w:r>
        <w:t>Housing in the Development Zone</w:t>
      </w:r>
    </w:p>
    <w:p w14:paraId="4DE2BA42" w14:textId="77777777" w:rsidR="002C4BAD" w:rsidRDefault="002C4BAD" w:rsidP="002C4BAD">
      <w:pPr>
        <w:rPr>
          <w:lang w:eastAsia="en-US"/>
        </w:rPr>
      </w:pPr>
    </w:p>
    <w:p w14:paraId="0E104242" w14:textId="77777777" w:rsidR="002C4BAD" w:rsidRPr="002C4BAD" w:rsidRDefault="002C4BAD" w:rsidP="002C4BAD">
      <w:pPr>
        <w:pStyle w:val="Title"/>
        <w:rPr>
          <w:b/>
        </w:rPr>
      </w:pPr>
      <w:r w:rsidRPr="002C4BAD">
        <w:rPr>
          <w:b/>
        </w:rPr>
        <w:t>Policy Number</w:t>
      </w:r>
    </w:p>
    <w:p w14:paraId="20CA8E02" w14:textId="29D53516" w:rsidR="002C4BAD" w:rsidRPr="002C4BAD" w:rsidRDefault="002C4BAD" w:rsidP="002C4BAD">
      <w:pPr>
        <w:pStyle w:val="Title"/>
      </w:pPr>
      <w:r>
        <w:t xml:space="preserve">LPP </w:t>
      </w:r>
      <w:r w:rsidR="00E80AB0">
        <w:t>1.16</w:t>
      </w:r>
    </w:p>
    <w:p w14:paraId="15B6A6C4" w14:textId="77777777" w:rsidR="001F7EFD" w:rsidRPr="002C4BAD" w:rsidRDefault="001F7EFD" w:rsidP="002C4BAD">
      <w:pPr>
        <w:rPr>
          <w:lang w:eastAsia="en-US"/>
        </w:rPr>
      </w:pPr>
    </w:p>
    <w:p w14:paraId="1B285DFC" w14:textId="77777777" w:rsidR="002638F1" w:rsidRPr="001846A8" w:rsidRDefault="001846A8" w:rsidP="001846A8">
      <w:pPr>
        <w:pStyle w:val="Heading1"/>
      </w:pPr>
      <w:r w:rsidRPr="001846A8">
        <w:t>Policy Type</w:t>
      </w:r>
    </w:p>
    <w:p w14:paraId="76AA4989" w14:textId="77777777" w:rsidR="001846A8" w:rsidRDefault="002C4BAD" w:rsidP="001846A8">
      <w:pPr>
        <w:pStyle w:val="Subtitle"/>
      </w:pPr>
      <w:r>
        <w:t xml:space="preserve">Local Planning </w:t>
      </w:r>
      <w:r w:rsidR="007D500E">
        <w:t>Policy</w:t>
      </w:r>
    </w:p>
    <w:p w14:paraId="7DD4076C" w14:textId="77777777" w:rsidR="001846A8" w:rsidRDefault="001846A8" w:rsidP="001846A8"/>
    <w:p w14:paraId="4A2DC7C6" w14:textId="77777777" w:rsidR="001846A8" w:rsidRDefault="001846A8" w:rsidP="001846A8">
      <w:pPr>
        <w:pStyle w:val="Heading1"/>
      </w:pPr>
      <w:r w:rsidRPr="001846A8">
        <w:t>Policy Purpose</w:t>
      </w:r>
    </w:p>
    <w:p w14:paraId="0AC91B96" w14:textId="77777777" w:rsidR="001846A8" w:rsidRDefault="001846A8" w:rsidP="001846A8"/>
    <w:p w14:paraId="2AFEF6AF" w14:textId="77777777" w:rsidR="00E80AB0" w:rsidRPr="00FC4B28" w:rsidRDefault="00E80AB0" w:rsidP="00E80AB0">
      <w:pPr>
        <w:tabs>
          <w:tab w:val="left" w:pos="720"/>
          <w:tab w:val="left" w:pos="1440"/>
        </w:tabs>
        <w:rPr>
          <w:rFonts w:cs="Arial"/>
        </w:rPr>
      </w:pPr>
      <w:r w:rsidRPr="00FC4B28">
        <w:rPr>
          <w:rFonts w:cs="Arial"/>
        </w:rPr>
        <w:t xml:space="preserve">The Residential Design Codes (R-Codes) is a Western Australian Planning Commission (WAPC) State Planning Policy, which was previously gazetted on 04 October 2002 and was recently updated on 23 October 2015. The R-Codes provide a comprehensive basis for the control of residential development through Western Australia. </w:t>
      </w:r>
    </w:p>
    <w:p w14:paraId="124A5D09" w14:textId="77777777" w:rsidR="00E80AB0" w:rsidRPr="00FC4B28" w:rsidRDefault="00E80AB0" w:rsidP="00E80AB0">
      <w:pPr>
        <w:tabs>
          <w:tab w:val="left" w:pos="720"/>
          <w:tab w:val="left" w:pos="1440"/>
        </w:tabs>
        <w:rPr>
          <w:rFonts w:cs="Arial"/>
        </w:rPr>
      </w:pPr>
    </w:p>
    <w:p w14:paraId="49DFE45B" w14:textId="77777777" w:rsidR="00E80AB0" w:rsidRPr="00FC4B28" w:rsidRDefault="00E80AB0" w:rsidP="00E80AB0">
      <w:pPr>
        <w:tabs>
          <w:tab w:val="left" w:pos="720"/>
          <w:tab w:val="left" w:pos="1440"/>
        </w:tabs>
        <w:rPr>
          <w:rFonts w:cs="Arial"/>
        </w:rPr>
      </w:pPr>
      <w:r w:rsidRPr="00FC4B28">
        <w:rPr>
          <w:rFonts w:cs="Arial"/>
        </w:rPr>
        <w:t>The introduction of the single house standards for medium density housing (RMD’s) via the WAPC’s Planning Bulletin 112/2016 applies to medium-density single dwellings in areas zoned ‘Development’. It is based on contemporary housing typologies and incorporates existing R-Codes variations that have been applied to date.</w:t>
      </w:r>
    </w:p>
    <w:p w14:paraId="2D4858D7" w14:textId="77777777" w:rsidR="00E80AB0" w:rsidRPr="00FC4B28" w:rsidRDefault="00E80AB0" w:rsidP="00E80AB0">
      <w:pPr>
        <w:tabs>
          <w:tab w:val="left" w:pos="720"/>
          <w:tab w:val="left" w:pos="1440"/>
          <w:tab w:val="left" w:pos="7920"/>
        </w:tabs>
        <w:rPr>
          <w:rFonts w:cs="Arial"/>
        </w:rPr>
      </w:pPr>
    </w:p>
    <w:p w14:paraId="4B850B85" w14:textId="77777777" w:rsidR="00E80AB0" w:rsidRPr="00FC4B28" w:rsidRDefault="00E80AB0" w:rsidP="00E80AB0">
      <w:pPr>
        <w:tabs>
          <w:tab w:val="left" w:pos="720"/>
          <w:tab w:val="left" w:pos="1440"/>
        </w:tabs>
        <w:rPr>
          <w:rFonts w:cs="Arial"/>
        </w:rPr>
      </w:pPr>
      <w:r w:rsidRPr="00FC4B28">
        <w:rPr>
          <w:rFonts w:cs="Arial"/>
        </w:rPr>
        <w:t xml:space="preserve">This Local Planning Policy shall outline acceptable variations to the deemed-to-comply provisions of the Residential Design Codes (R-Codes) for medium density single dwellings in areas zoned ‘Development’ under the City’s Town Planning Scheme No. 3 (TPS 3).  </w:t>
      </w:r>
    </w:p>
    <w:p w14:paraId="4A17B7DF" w14:textId="77777777" w:rsidR="00E80AB0" w:rsidRPr="00FC4B28" w:rsidRDefault="00E80AB0" w:rsidP="00E80AB0">
      <w:pPr>
        <w:tabs>
          <w:tab w:val="left" w:pos="720"/>
          <w:tab w:val="left" w:pos="1440"/>
        </w:tabs>
        <w:rPr>
          <w:rFonts w:cs="Arial"/>
        </w:rPr>
      </w:pPr>
    </w:p>
    <w:p w14:paraId="41637604" w14:textId="50FA3B7B" w:rsidR="00E80AB0" w:rsidRPr="00FC4B28" w:rsidRDefault="00E80AB0" w:rsidP="00E80AB0">
      <w:pPr>
        <w:tabs>
          <w:tab w:val="left" w:pos="720"/>
          <w:tab w:val="left" w:pos="1440"/>
        </w:tabs>
        <w:rPr>
          <w:rFonts w:cs="Arial"/>
        </w:rPr>
      </w:pPr>
      <w:r w:rsidRPr="00FC4B28">
        <w:rPr>
          <w:rFonts w:cs="Arial"/>
        </w:rPr>
        <w:t xml:space="preserve">This policy applies to all development to which the R-Codes apply and does not exempt compliance with other requirements of the R-Codes, TPS 3, and other Council policies, Local Development Plans (LDP’s) and/or the Building Code of Australia.Where there are existing LDP’s with conflicting provisions, the approved LDP shall prevail. </w:t>
      </w:r>
    </w:p>
    <w:p w14:paraId="1FB35F15" w14:textId="77777777" w:rsidR="00E80AB0" w:rsidRPr="00FC4B28" w:rsidRDefault="00E80AB0" w:rsidP="00E80AB0">
      <w:pPr>
        <w:tabs>
          <w:tab w:val="left" w:pos="720"/>
          <w:tab w:val="left" w:pos="1440"/>
        </w:tabs>
        <w:rPr>
          <w:rFonts w:cs="Arial"/>
        </w:rPr>
      </w:pPr>
      <w:r w:rsidRPr="00FC4B28">
        <w:rPr>
          <w:rFonts w:cs="Arial"/>
        </w:rPr>
        <w:t>Further variations sought to the RMD’s will generally not be supported.</w:t>
      </w:r>
    </w:p>
    <w:p w14:paraId="3F53641F" w14:textId="77777777" w:rsidR="00E80AB0" w:rsidRPr="00F94F2C" w:rsidRDefault="00E80AB0" w:rsidP="00E80AB0">
      <w:pPr>
        <w:tabs>
          <w:tab w:val="left" w:pos="9026"/>
        </w:tabs>
        <w:spacing w:before="2"/>
        <w:ind w:right="-46"/>
        <w:rPr>
          <w:rFonts w:cs="Arial"/>
        </w:rPr>
      </w:pPr>
    </w:p>
    <w:p w14:paraId="7D34DBA4" w14:textId="77777777" w:rsidR="00E80AB0" w:rsidRPr="00FC4B28" w:rsidRDefault="00E80AB0" w:rsidP="00E80AB0">
      <w:pPr>
        <w:tabs>
          <w:tab w:val="left" w:pos="720"/>
          <w:tab w:val="left" w:pos="1440"/>
        </w:tabs>
        <w:rPr>
          <w:rFonts w:cs="Arial"/>
        </w:rPr>
      </w:pPr>
      <w:r w:rsidRPr="00FC4B28">
        <w:rPr>
          <w:rFonts w:cs="Arial"/>
        </w:rPr>
        <w:t>The purpose of this policy is to replace the deemed-to-comply requirements of the following clauses of the R-Codes with those set out in the provisions of this policy:</w:t>
      </w:r>
    </w:p>
    <w:p w14:paraId="6FDB0F5F" w14:textId="77777777" w:rsidR="00E80AB0" w:rsidRPr="00FC4B28" w:rsidRDefault="00E80AB0" w:rsidP="00E80AB0">
      <w:pPr>
        <w:tabs>
          <w:tab w:val="left" w:pos="720"/>
          <w:tab w:val="left" w:pos="1440"/>
        </w:tabs>
        <w:ind w:left="1440"/>
        <w:rPr>
          <w:rFonts w:cs="Arial"/>
        </w:rPr>
      </w:pPr>
    </w:p>
    <w:p w14:paraId="41E9A5D3" w14:textId="77777777" w:rsidR="00E80AB0" w:rsidRPr="00FC4B28" w:rsidRDefault="00E80AB0" w:rsidP="00E80AB0">
      <w:pPr>
        <w:pStyle w:val="ListParagraph"/>
        <w:numPr>
          <w:ilvl w:val="0"/>
          <w:numId w:val="2"/>
        </w:numPr>
        <w:tabs>
          <w:tab w:val="left" w:pos="720"/>
          <w:tab w:val="left" w:pos="1440"/>
        </w:tabs>
        <w:spacing w:line="240" w:lineRule="auto"/>
        <w:ind w:hanging="2160"/>
        <w:rPr>
          <w:rFonts w:cs="Arial"/>
        </w:rPr>
      </w:pPr>
      <w:r w:rsidRPr="00FC4B28">
        <w:rPr>
          <w:rFonts w:cs="Arial"/>
        </w:rPr>
        <w:t>Building and Garage setbacks – Clauses 5.12, 5.13 and 5.21;</w:t>
      </w:r>
    </w:p>
    <w:p w14:paraId="3B8B624D" w14:textId="77777777" w:rsidR="00E80AB0" w:rsidRPr="00FC4B28" w:rsidRDefault="00E80AB0" w:rsidP="00E80AB0">
      <w:pPr>
        <w:pStyle w:val="ListParagraph"/>
        <w:numPr>
          <w:ilvl w:val="0"/>
          <w:numId w:val="2"/>
        </w:numPr>
        <w:tabs>
          <w:tab w:val="left" w:pos="720"/>
          <w:tab w:val="left" w:pos="1440"/>
        </w:tabs>
        <w:spacing w:line="240" w:lineRule="auto"/>
        <w:ind w:hanging="2160"/>
        <w:rPr>
          <w:rFonts w:cs="Arial"/>
        </w:rPr>
      </w:pPr>
      <w:r w:rsidRPr="00FC4B28">
        <w:rPr>
          <w:rFonts w:cs="Arial"/>
        </w:rPr>
        <w:t>Open Space – Clause 5.1.4;</w:t>
      </w:r>
    </w:p>
    <w:p w14:paraId="6D46E4DC" w14:textId="77777777" w:rsidR="00E80AB0" w:rsidRPr="00FC4B28" w:rsidRDefault="00E80AB0" w:rsidP="00E80AB0">
      <w:pPr>
        <w:pStyle w:val="ListParagraph"/>
        <w:numPr>
          <w:ilvl w:val="0"/>
          <w:numId w:val="2"/>
        </w:numPr>
        <w:tabs>
          <w:tab w:val="left" w:pos="720"/>
          <w:tab w:val="left" w:pos="1440"/>
        </w:tabs>
        <w:spacing w:line="240" w:lineRule="auto"/>
        <w:ind w:hanging="2160"/>
        <w:rPr>
          <w:rFonts w:cs="Arial"/>
        </w:rPr>
      </w:pPr>
      <w:r w:rsidRPr="00FC4B28">
        <w:rPr>
          <w:rFonts w:cs="Arial"/>
        </w:rPr>
        <w:t>Parking – Clause 5.3.3;</w:t>
      </w:r>
    </w:p>
    <w:p w14:paraId="53C6B14D" w14:textId="77777777" w:rsidR="00E80AB0" w:rsidRPr="00FC4B28" w:rsidRDefault="00E80AB0" w:rsidP="00E80AB0">
      <w:pPr>
        <w:pStyle w:val="ListParagraph"/>
        <w:numPr>
          <w:ilvl w:val="0"/>
          <w:numId w:val="2"/>
        </w:numPr>
        <w:tabs>
          <w:tab w:val="left" w:pos="720"/>
          <w:tab w:val="left" w:pos="1440"/>
        </w:tabs>
        <w:spacing w:line="240" w:lineRule="auto"/>
        <w:ind w:hanging="2160"/>
        <w:rPr>
          <w:rFonts w:cs="Arial"/>
        </w:rPr>
      </w:pPr>
      <w:r w:rsidRPr="00FC4B28">
        <w:rPr>
          <w:rFonts w:cs="Arial"/>
        </w:rPr>
        <w:t>Visual Privacy – Clause 5.4.1; and</w:t>
      </w:r>
    </w:p>
    <w:p w14:paraId="088CA7AD" w14:textId="77777777" w:rsidR="00E80AB0" w:rsidRPr="00FC4B28" w:rsidRDefault="00E80AB0" w:rsidP="00E80AB0">
      <w:pPr>
        <w:pStyle w:val="ListParagraph"/>
        <w:numPr>
          <w:ilvl w:val="0"/>
          <w:numId w:val="2"/>
        </w:numPr>
        <w:tabs>
          <w:tab w:val="left" w:pos="720"/>
          <w:tab w:val="left" w:pos="1440"/>
        </w:tabs>
        <w:spacing w:line="240" w:lineRule="auto"/>
        <w:ind w:hanging="2160"/>
        <w:rPr>
          <w:rFonts w:cs="Arial"/>
        </w:rPr>
      </w:pPr>
      <w:r w:rsidRPr="00FC4B28">
        <w:rPr>
          <w:rFonts w:cs="Arial"/>
        </w:rPr>
        <w:t>Solar Access – Clause 5.4.2.</w:t>
      </w:r>
    </w:p>
    <w:p w14:paraId="17093D04" w14:textId="77777777" w:rsidR="00E80AB0" w:rsidRPr="00F94F2C" w:rsidRDefault="00E80AB0" w:rsidP="00E80AB0">
      <w:pPr>
        <w:tabs>
          <w:tab w:val="left" w:pos="9026"/>
        </w:tabs>
        <w:spacing w:before="2"/>
        <w:ind w:right="-46"/>
        <w:rPr>
          <w:rFonts w:cs="Arial"/>
        </w:rPr>
      </w:pPr>
    </w:p>
    <w:p w14:paraId="58767986" w14:textId="77777777" w:rsidR="00E80AB0" w:rsidRPr="00C304CB" w:rsidRDefault="00E80AB0" w:rsidP="00E80AB0">
      <w:pPr>
        <w:tabs>
          <w:tab w:val="left" w:pos="720"/>
          <w:tab w:val="left" w:pos="1440"/>
        </w:tabs>
        <w:rPr>
          <w:rFonts w:cs="Arial"/>
          <w:u w:val="single"/>
        </w:rPr>
      </w:pPr>
      <w:r w:rsidRPr="00C304CB">
        <w:rPr>
          <w:rFonts w:cs="Arial"/>
          <w:u w:val="single"/>
        </w:rPr>
        <w:lastRenderedPageBreak/>
        <w:t>Implementation</w:t>
      </w:r>
    </w:p>
    <w:p w14:paraId="5420F6ED" w14:textId="77777777" w:rsidR="00E80AB0" w:rsidRPr="00FC4B28" w:rsidRDefault="00E80AB0" w:rsidP="00E80AB0">
      <w:pPr>
        <w:tabs>
          <w:tab w:val="left" w:pos="720"/>
          <w:tab w:val="left" w:pos="1440"/>
        </w:tabs>
        <w:ind w:left="1440"/>
        <w:rPr>
          <w:rFonts w:cs="Arial"/>
        </w:rPr>
      </w:pPr>
    </w:p>
    <w:p w14:paraId="0FADB57F" w14:textId="77777777" w:rsidR="00E80AB0" w:rsidRPr="00935F26" w:rsidRDefault="00E80AB0" w:rsidP="00E80AB0">
      <w:pPr>
        <w:pStyle w:val="ListParagraph"/>
        <w:numPr>
          <w:ilvl w:val="0"/>
          <w:numId w:val="3"/>
        </w:numPr>
        <w:tabs>
          <w:tab w:val="left" w:pos="567"/>
          <w:tab w:val="left" w:pos="1134"/>
        </w:tabs>
        <w:spacing w:line="240" w:lineRule="auto"/>
        <w:ind w:left="1134" w:hanging="720"/>
        <w:rPr>
          <w:rFonts w:cs="Arial"/>
        </w:rPr>
      </w:pPr>
      <w:r w:rsidRPr="55FFE5FE">
        <w:rPr>
          <w:rFonts w:cs="Arial"/>
        </w:rPr>
        <w:t>Development approval will not be required for a single dwelling that complies with the provisions of this policy (and all other deemed-to-comply requirements of the R-Codes), in accordance with Clause 61(4)(c) of the deemed provisions of the Planning and Development (Local Planning Schemes) Regulations 2015.</w:t>
      </w:r>
    </w:p>
    <w:p w14:paraId="0AE3EF01" w14:textId="2439C3D9" w:rsidR="55FFE5FE" w:rsidRDefault="55FFE5FE" w:rsidP="55FFE5FE">
      <w:pPr>
        <w:pStyle w:val="ListParagraph"/>
        <w:tabs>
          <w:tab w:val="left" w:pos="567"/>
          <w:tab w:val="left" w:pos="1134"/>
        </w:tabs>
        <w:spacing w:line="240" w:lineRule="auto"/>
        <w:ind w:left="1134" w:hanging="720"/>
        <w:rPr>
          <w:rFonts w:cs="Arial"/>
        </w:rPr>
      </w:pPr>
    </w:p>
    <w:p w14:paraId="161882FC" w14:textId="77777777" w:rsidR="00E80AB0" w:rsidRDefault="00E80AB0" w:rsidP="00E80AB0">
      <w:pPr>
        <w:pStyle w:val="ListParagraph"/>
        <w:numPr>
          <w:ilvl w:val="0"/>
          <w:numId w:val="3"/>
        </w:numPr>
        <w:tabs>
          <w:tab w:val="left" w:pos="567"/>
          <w:tab w:val="left" w:pos="1134"/>
        </w:tabs>
        <w:spacing w:line="240" w:lineRule="auto"/>
        <w:ind w:left="1134" w:hanging="720"/>
        <w:rPr>
          <w:rFonts w:cs="Arial"/>
        </w:rPr>
      </w:pPr>
      <w:r w:rsidRPr="00FC4B28">
        <w:rPr>
          <w:rFonts w:cs="Arial"/>
        </w:rPr>
        <w:t>This policy will apply where an approved Structure Plan or LDP identifies that the RMD codes Local Planning Policy applies.</w:t>
      </w:r>
    </w:p>
    <w:p w14:paraId="4565B9B7" w14:textId="77777777" w:rsidR="00E80AB0" w:rsidRPr="00FC4B28" w:rsidRDefault="00E80AB0" w:rsidP="00E80AB0">
      <w:pPr>
        <w:pStyle w:val="ListParagraph"/>
        <w:tabs>
          <w:tab w:val="left" w:pos="567"/>
          <w:tab w:val="left" w:pos="1134"/>
        </w:tabs>
        <w:ind w:left="1134"/>
        <w:rPr>
          <w:rFonts w:cs="Arial"/>
        </w:rPr>
      </w:pPr>
    </w:p>
    <w:p w14:paraId="6A9275D9" w14:textId="77777777" w:rsidR="00E80AB0" w:rsidRDefault="00E80AB0" w:rsidP="00E80AB0">
      <w:pPr>
        <w:pStyle w:val="ListParagraph"/>
        <w:numPr>
          <w:ilvl w:val="0"/>
          <w:numId w:val="3"/>
        </w:numPr>
        <w:tabs>
          <w:tab w:val="left" w:pos="567"/>
          <w:tab w:val="left" w:pos="1134"/>
        </w:tabs>
        <w:spacing w:line="240" w:lineRule="auto"/>
        <w:ind w:left="1134" w:hanging="720"/>
        <w:rPr>
          <w:rFonts w:cs="Arial"/>
        </w:rPr>
      </w:pPr>
      <w:r w:rsidRPr="00FC4B28">
        <w:rPr>
          <w:rFonts w:cs="Arial"/>
        </w:rPr>
        <w:t>Where a proposal meets the provisions of this policy, advertising to adjoining owners in relation to these provisions is not required.</w:t>
      </w:r>
    </w:p>
    <w:p w14:paraId="0FBFF3E8" w14:textId="77777777" w:rsidR="00E80AB0" w:rsidRPr="00051CA9" w:rsidRDefault="00E80AB0" w:rsidP="00E80AB0">
      <w:pPr>
        <w:pStyle w:val="ListParagraph"/>
        <w:tabs>
          <w:tab w:val="left" w:pos="567"/>
          <w:tab w:val="left" w:pos="1134"/>
        </w:tabs>
        <w:ind w:left="1134"/>
        <w:rPr>
          <w:rFonts w:cs="Arial"/>
        </w:rPr>
      </w:pPr>
    </w:p>
    <w:p w14:paraId="51FCB83D" w14:textId="77777777" w:rsidR="00E80AB0" w:rsidRDefault="00E80AB0" w:rsidP="00E80AB0">
      <w:pPr>
        <w:pStyle w:val="ListParagraph"/>
        <w:numPr>
          <w:ilvl w:val="0"/>
          <w:numId w:val="3"/>
        </w:numPr>
        <w:tabs>
          <w:tab w:val="left" w:pos="567"/>
          <w:tab w:val="left" w:pos="1134"/>
        </w:tabs>
        <w:spacing w:line="240" w:lineRule="auto"/>
        <w:ind w:left="1134" w:hanging="720"/>
        <w:rPr>
          <w:rFonts w:cs="Arial"/>
        </w:rPr>
      </w:pPr>
      <w:r w:rsidRPr="00FC4B28">
        <w:rPr>
          <w:rFonts w:cs="Arial"/>
        </w:rPr>
        <w:t>Where a proposal does not meet the provisions of this policy, the City will consider the proposal on its merits in accordance with the relevant ‘design principles’ of the R-Codes having due regard to Clause 2.5 (Part 2) of the R-Codes.</w:t>
      </w:r>
    </w:p>
    <w:p w14:paraId="6734D566" w14:textId="77777777" w:rsidR="00E80AB0" w:rsidRPr="00E80AB0" w:rsidRDefault="00E80AB0" w:rsidP="00E80AB0">
      <w:pPr>
        <w:pStyle w:val="ListParagraph"/>
        <w:rPr>
          <w:rFonts w:cs="Arial"/>
          <w:color w:val="auto"/>
        </w:rPr>
      </w:pPr>
    </w:p>
    <w:p w14:paraId="70EB90B4" w14:textId="77777777" w:rsidR="00E80AB0" w:rsidRPr="00E80AB0" w:rsidRDefault="00E80AB0" w:rsidP="00E80AB0">
      <w:pPr>
        <w:pStyle w:val="ListParagraph"/>
        <w:numPr>
          <w:ilvl w:val="0"/>
          <w:numId w:val="3"/>
        </w:numPr>
        <w:tabs>
          <w:tab w:val="left" w:pos="567"/>
          <w:tab w:val="left" w:pos="1134"/>
        </w:tabs>
        <w:spacing w:line="240" w:lineRule="auto"/>
        <w:ind w:left="1134" w:hanging="720"/>
        <w:rPr>
          <w:rFonts w:cs="Arial"/>
          <w:color w:val="auto"/>
        </w:rPr>
      </w:pPr>
      <w:r w:rsidRPr="00E80AB0">
        <w:rPr>
          <w:rFonts w:cs="Arial"/>
          <w:color w:val="auto"/>
        </w:rPr>
        <w:t xml:space="preserve">The provisions relating to R60 within this policy shall be of no effect as of 10 April 2026 in accordance with WAPC Planning Bulletin 114/2024. At this point, lots with a density coding of R60 shall be assessed against the provisions of Part C of the R-Codes. </w:t>
      </w:r>
    </w:p>
    <w:p w14:paraId="70DC11EA" w14:textId="77777777" w:rsidR="00B54952" w:rsidRDefault="00B54952" w:rsidP="001846A8"/>
    <w:p w14:paraId="62B22C00" w14:textId="77777777" w:rsidR="00B54952" w:rsidRDefault="00B54952" w:rsidP="001846A8"/>
    <w:p w14:paraId="6034050F" w14:textId="77777777" w:rsidR="001846A8" w:rsidRDefault="001846A8" w:rsidP="001846A8">
      <w:pPr>
        <w:pStyle w:val="Heading1"/>
      </w:pPr>
      <w:r w:rsidRPr="001846A8">
        <w:t>Policy Statement</w:t>
      </w:r>
    </w:p>
    <w:p w14:paraId="0539FCE0" w14:textId="77777777" w:rsidR="008244E5" w:rsidRDefault="008244E5" w:rsidP="008244E5">
      <w:pPr>
        <w:rPr>
          <w:iCs/>
        </w:rPr>
      </w:pPr>
    </w:p>
    <w:p w14:paraId="306D628D" w14:textId="77777777" w:rsidR="00E80AB0" w:rsidRDefault="00E80AB0" w:rsidP="00E80AB0">
      <w:pPr>
        <w:pStyle w:val="ListParagraph"/>
        <w:numPr>
          <w:ilvl w:val="0"/>
          <w:numId w:val="1"/>
        </w:numPr>
        <w:spacing w:line="240" w:lineRule="auto"/>
        <w:ind w:left="567" w:hanging="567"/>
        <w:rPr>
          <w:rFonts w:cs="Arial"/>
        </w:rPr>
      </w:pPr>
      <w:r w:rsidRPr="00FC4B28">
        <w:rPr>
          <w:rFonts w:cs="Arial"/>
        </w:rPr>
        <w:t>Definitions</w:t>
      </w:r>
    </w:p>
    <w:p w14:paraId="6F6A99DB" w14:textId="77777777" w:rsidR="00E80AB0" w:rsidRPr="00FC4B28" w:rsidRDefault="00E80AB0" w:rsidP="00E80AB0">
      <w:pPr>
        <w:pStyle w:val="ListParagraph"/>
        <w:ind w:left="567"/>
        <w:rPr>
          <w:rFonts w:cs="Arial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074"/>
        <w:gridCol w:w="5448"/>
      </w:tblGrid>
      <w:tr w:rsidR="00E80AB0" w:rsidRPr="00FC4B28" w14:paraId="370071A2" w14:textId="77777777" w:rsidTr="00081839">
        <w:tc>
          <w:tcPr>
            <w:tcW w:w="3074" w:type="dxa"/>
          </w:tcPr>
          <w:p w14:paraId="679D5035" w14:textId="77777777" w:rsidR="00E80AB0" w:rsidRPr="00FC4B28" w:rsidRDefault="00E80AB0" w:rsidP="00081839">
            <w:pPr>
              <w:rPr>
                <w:rFonts w:cs="Arial"/>
              </w:rPr>
            </w:pPr>
            <w:r w:rsidRPr="00FC4B28">
              <w:rPr>
                <w:rFonts w:cs="Arial"/>
              </w:rPr>
              <w:t>Approved Structure Plan</w:t>
            </w:r>
          </w:p>
        </w:tc>
        <w:tc>
          <w:tcPr>
            <w:tcW w:w="5448" w:type="dxa"/>
          </w:tcPr>
          <w:p w14:paraId="191ADF97" w14:textId="77777777" w:rsidR="00E80AB0" w:rsidRPr="00FC4B28" w:rsidRDefault="00E80AB0" w:rsidP="00081839">
            <w:pPr>
              <w:rPr>
                <w:rFonts w:cs="Arial"/>
              </w:rPr>
            </w:pPr>
            <w:r w:rsidRPr="00FC4B28">
              <w:rPr>
                <w:rFonts w:cs="Arial"/>
              </w:rPr>
              <w:t>A Structure Plan or Activity Central Plan that has been approved by the Western Australian Planning Commission (WAPC) under the City’s TPS 3.</w:t>
            </w:r>
          </w:p>
        </w:tc>
      </w:tr>
      <w:tr w:rsidR="00E80AB0" w:rsidRPr="00FC4B28" w14:paraId="2A1A4F6F" w14:textId="77777777" w:rsidTr="00081839">
        <w:tc>
          <w:tcPr>
            <w:tcW w:w="3074" w:type="dxa"/>
          </w:tcPr>
          <w:p w14:paraId="27141C29" w14:textId="77777777" w:rsidR="00E80AB0" w:rsidRPr="00FC4B28" w:rsidRDefault="00E80AB0" w:rsidP="00081839">
            <w:pPr>
              <w:rPr>
                <w:rFonts w:cs="Arial"/>
              </w:rPr>
            </w:pPr>
            <w:r w:rsidRPr="00FC4B28">
              <w:rPr>
                <w:rFonts w:cs="Arial"/>
              </w:rPr>
              <w:t>Medium density</w:t>
            </w:r>
          </w:p>
        </w:tc>
        <w:tc>
          <w:tcPr>
            <w:tcW w:w="5448" w:type="dxa"/>
          </w:tcPr>
          <w:p w14:paraId="49890F3C" w14:textId="77777777" w:rsidR="00E80AB0" w:rsidRPr="00FC4B28" w:rsidRDefault="00E80AB0" w:rsidP="00081839">
            <w:pPr>
              <w:rPr>
                <w:rFonts w:cs="Arial"/>
              </w:rPr>
            </w:pPr>
            <w:r w:rsidRPr="00FC4B28">
              <w:rPr>
                <w:rFonts w:cs="Arial"/>
              </w:rPr>
              <w:t>R25-R60 density codes.</w:t>
            </w:r>
          </w:p>
        </w:tc>
      </w:tr>
      <w:tr w:rsidR="00E80AB0" w:rsidRPr="00FC4B28" w14:paraId="2E6D15C3" w14:textId="77777777" w:rsidTr="00081839">
        <w:tc>
          <w:tcPr>
            <w:tcW w:w="3074" w:type="dxa"/>
          </w:tcPr>
          <w:p w14:paraId="4E66189C" w14:textId="77777777" w:rsidR="00E80AB0" w:rsidRPr="00FC4B28" w:rsidRDefault="00E80AB0" w:rsidP="00081839">
            <w:pPr>
              <w:rPr>
                <w:rFonts w:cs="Arial"/>
              </w:rPr>
            </w:pPr>
            <w:r w:rsidRPr="00FC4B28">
              <w:rPr>
                <w:rFonts w:cs="Arial"/>
              </w:rPr>
              <w:t>Rear Load</w:t>
            </w:r>
          </w:p>
        </w:tc>
        <w:tc>
          <w:tcPr>
            <w:tcW w:w="5448" w:type="dxa"/>
          </w:tcPr>
          <w:p w14:paraId="3DCAF6DB" w14:textId="77777777" w:rsidR="00E80AB0" w:rsidRPr="00FC4B28" w:rsidRDefault="00E80AB0" w:rsidP="00081839">
            <w:pPr>
              <w:rPr>
                <w:rFonts w:cs="Arial"/>
              </w:rPr>
            </w:pPr>
            <w:r w:rsidRPr="00FC4B28">
              <w:rPr>
                <w:rFonts w:cs="Arial"/>
              </w:rPr>
              <w:t>Lots where the primary vehicle access is via the rear of the lot, from a street of right of way (ROW) and the garage/carport is located at the back of the dwelling.</w:t>
            </w:r>
          </w:p>
        </w:tc>
      </w:tr>
      <w:tr w:rsidR="00E80AB0" w:rsidRPr="00FC4B28" w14:paraId="14E7CC0D" w14:textId="77777777" w:rsidTr="00081839">
        <w:tc>
          <w:tcPr>
            <w:tcW w:w="3074" w:type="dxa"/>
          </w:tcPr>
          <w:p w14:paraId="29E8AA64" w14:textId="77777777" w:rsidR="00E80AB0" w:rsidRPr="00FC4B28" w:rsidRDefault="00E80AB0" w:rsidP="00081839">
            <w:pPr>
              <w:rPr>
                <w:rFonts w:cs="Arial"/>
              </w:rPr>
            </w:pPr>
            <w:r w:rsidRPr="00FC4B28">
              <w:rPr>
                <w:rFonts w:cs="Arial"/>
              </w:rPr>
              <w:t>Front Load</w:t>
            </w:r>
          </w:p>
        </w:tc>
        <w:tc>
          <w:tcPr>
            <w:tcW w:w="5448" w:type="dxa"/>
          </w:tcPr>
          <w:p w14:paraId="5DDD7BEB" w14:textId="77777777" w:rsidR="00E80AB0" w:rsidRPr="00FC4B28" w:rsidRDefault="00E80AB0" w:rsidP="00081839">
            <w:pPr>
              <w:rPr>
                <w:rFonts w:cs="Arial"/>
              </w:rPr>
            </w:pPr>
            <w:r w:rsidRPr="00FC4B28">
              <w:rPr>
                <w:rFonts w:cs="Arial"/>
              </w:rPr>
              <w:t>Lots where the primary vehicle access is via the front of the lot and the garage/carport is located at the front of the dwelling.</w:t>
            </w:r>
          </w:p>
        </w:tc>
      </w:tr>
      <w:tr w:rsidR="00E80AB0" w:rsidRPr="00FC4B28" w14:paraId="4A79ACB1" w14:textId="77777777" w:rsidTr="00081839">
        <w:tc>
          <w:tcPr>
            <w:tcW w:w="3074" w:type="dxa"/>
          </w:tcPr>
          <w:p w14:paraId="1B8BD4DC" w14:textId="77777777" w:rsidR="00E80AB0" w:rsidRPr="00FC4B28" w:rsidRDefault="00E80AB0" w:rsidP="00081839">
            <w:pPr>
              <w:rPr>
                <w:rFonts w:cs="Arial"/>
              </w:rPr>
            </w:pPr>
            <w:r w:rsidRPr="00FC4B28">
              <w:rPr>
                <w:rFonts w:cs="Arial"/>
              </w:rPr>
              <w:t>RMD Codes</w:t>
            </w:r>
          </w:p>
        </w:tc>
        <w:tc>
          <w:tcPr>
            <w:tcW w:w="5448" w:type="dxa"/>
          </w:tcPr>
          <w:p w14:paraId="5E71AFFF" w14:textId="77777777" w:rsidR="00E80AB0" w:rsidRPr="00FC4B28" w:rsidRDefault="00E80AB0" w:rsidP="00081839">
            <w:pPr>
              <w:rPr>
                <w:rFonts w:cs="Arial"/>
              </w:rPr>
            </w:pPr>
            <w:r w:rsidRPr="00FC4B28">
              <w:rPr>
                <w:rFonts w:cs="Arial"/>
              </w:rPr>
              <w:t>Single house standards for medium density dwellings.</w:t>
            </w:r>
          </w:p>
        </w:tc>
      </w:tr>
    </w:tbl>
    <w:p w14:paraId="01B52FD7" w14:textId="08FC14E8" w:rsidR="00236CF3" w:rsidRPr="00236CF3" w:rsidRDefault="00236CF3" w:rsidP="00E80AB0">
      <w:pPr>
        <w:pStyle w:val="Default"/>
        <w:ind w:left="567" w:hanging="567"/>
        <w:rPr>
          <w:rFonts w:ascii="Arial" w:hAnsi="Arial" w:cs="Arial"/>
          <w:color w:val="auto"/>
        </w:rPr>
      </w:pPr>
    </w:p>
    <w:p w14:paraId="61266C86" w14:textId="77777777" w:rsidR="00B54952" w:rsidRPr="002D3558" w:rsidRDefault="00B54952" w:rsidP="00B54952">
      <w:pPr>
        <w:pStyle w:val="ListParagraph"/>
        <w:ind w:left="1080"/>
        <w:rPr>
          <w:rFonts w:cs="Arial"/>
          <w:highlight w:val="yellow"/>
        </w:rPr>
      </w:pPr>
    </w:p>
    <w:p w14:paraId="1CA6CFE1" w14:textId="77777777" w:rsidR="00F722FD" w:rsidRDefault="00F722FD" w:rsidP="008244E5">
      <w:pPr>
        <w:rPr>
          <w:iCs/>
        </w:rPr>
      </w:pPr>
    </w:p>
    <w:p w14:paraId="0B2B1636" w14:textId="77777777" w:rsidR="00B432DE" w:rsidRDefault="00B432DE" w:rsidP="00B432DE">
      <w:pPr>
        <w:spacing w:line="240" w:lineRule="auto"/>
        <w:rPr>
          <w:rFonts w:cs="Arial"/>
        </w:rPr>
        <w:sectPr w:rsidR="00B432DE" w:rsidSect="005F1700">
          <w:footerReference w:type="even" r:id="rId8"/>
          <w:footerReference w:type="default" r:id="rId9"/>
          <w:footerReference w:type="first" r:id="rId10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14:paraId="0267B105" w14:textId="77777777" w:rsidR="00B432DE" w:rsidRPr="00B432DE" w:rsidRDefault="00B432DE" w:rsidP="00B432DE">
      <w:pPr>
        <w:spacing w:line="240" w:lineRule="auto"/>
        <w:rPr>
          <w:rFonts w:cs="Arial"/>
        </w:rPr>
      </w:pPr>
    </w:p>
    <w:p w14:paraId="16500460" w14:textId="27444DC1" w:rsidR="00B432DE" w:rsidRPr="00B432DE" w:rsidRDefault="00B432DE" w:rsidP="00B432DE">
      <w:pPr>
        <w:pStyle w:val="ListParagraph"/>
        <w:numPr>
          <w:ilvl w:val="0"/>
          <w:numId w:val="1"/>
        </w:numPr>
        <w:spacing w:line="240" w:lineRule="auto"/>
        <w:ind w:left="567" w:hanging="567"/>
        <w:rPr>
          <w:rFonts w:cs="Arial"/>
        </w:rPr>
      </w:pPr>
      <w:r w:rsidRPr="00FC4B28">
        <w:rPr>
          <w:rFonts w:cs="Arial"/>
        </w:rPr>
        <w:t>Provisions:</w:t>
      </w:r>
    </w:p>
    <w:p w14:paraId="6414BAB3" w14:textId="77777777" w:rsidR="00B54952" w:rsidRDefault="00B54952" w:rsidP="008244E5">
      <w:pPr>
        <w:rPr>
          <w:iCs/>
        </w:rPr>
      </w:pPr>
    </w:p>
    <w:p w14:paraId="35DC85F2" w14:textId="2D522251" w:rsidR="00B432DE" w:rsidRDefault="00B432DE" w:rsidP="008244E5">
      <w:pPr>
        <w:rPr>
          <w:iCs/>
        </w:rPr>
      </w:pPr>
      <w:r>
        <w:rPr>
          <w:b/>
          <w:noProof/>
        </w:rPr>
        <w:drawing>
          <wp:inline distT="0" distB="0" distL="0" distR="0" wp14:anchorId="42FB4F66" wp14:editId="2DAE3B61">
            <wp:extent cx="9532437" cy="505508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0033" cy="50591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C1727F" w14:textId="77777777" w:rsidR="00B432DE" w:rsidRDefault="00B432DE" w:rsidP="008244E5">
      <w:pPr>
        <w:rPr>
          <w:iCs/>
        </w:rPr>
      </w:pPr>
    </w:p>
    <w:p w14:paraId="65AA2106" w14:textId="77777777" w:rsidR="00B432DE" w:rsidRDefault="00B432DE" w:rsidP="008244E5">
      <w:pPr>
        <w:rPr>
          <w:iCs/>
        </w:rPr>
      </w:pPr>
    </w:p>
    <w:p w14:paraId="083D7ACF" w14:textId="5FEF1D60" w:rsidR="00B432DE" w:rsidRDefault="00B432DE" w:rsidP="008244E5">
      <w:pPr>
        <w:rPr>
          <w:iCs/>
        </w:rPr>
      </w:pPr>
      <w:r>
        <w:rPr>
          <w:b/>
          <w:noProof/>
        </w:rPr>
        <w:lastRenderedPageBreak/>
        <w:drawing>
          <wp:inline distT="0" distB="0" distL="0" distR="0" wp14:anchorId="7346CABB" wp14:editId="2EF7D6BC">
            <wp:extent cx="9251950" cy="4506511"/>
            <wp:effectExtent l="0" t="0" r="6350" b="889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45065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C99660" w14:textId="77777777" w:rsidR="00B432DE" w:rsidRDefault="00B432DE" w:rsidP="008244E5">
      <w:pPr>
        <w:rPr>
          <w:iCs/>
        </w:rPr>
      </w:pPr>
    </w:p>
    <w:p w14:paraId="61CBA6B6" w14:textId="77777777" w:rsidR="00B432DE" w:rsidRDefault="00B432DE" w:rsidP="008244E5">
      <w:pPr>
        <w:rPr>
          <w:iCs/>
        </w:rPr>
      </w:pPr>
    </w:p>
    <w:p w14:paraId="6AA9B7F9" w14:textId="77777777" w:rsidR="00B432DE" w:rsidRDefault="00B432DE" w:rsidP="008244E5">
      <w:pPr>
        <w:rPr>
          <w:iCs/>
        </w:rPr>
      </w:pPr>
    </w:p>
    <w:p w14:paraId="08444899" w14:textId="77777777" w:rsidR="00B432DE" w:rsidRDefault="00B432DE" w:rsidP="008244E5">
      <w:pPr>
        <w:rPr>
          <w:iCs/>
        </w:rPr>
      </w:pPr>
    </w:p>
    <w:p w14:paraId="5E3846CD" w14:textId="77777777" w:rsidR="00B432DE" w:rsidRDefault="00B432DE" w:rsidP="008244E5">
      <w:pPr>
        <w:rPr>
          <w:iCs/>
        </w:rPr>
      </w:pPr>
    </w:p>
    <w:p w14:paraId="365276BD" w14:textId="77777777" w:rsidR="00B432DE" w:rsidRDefault="00B432DE" w:rsidP="008244E5">
      <w:pPr>
        <w:rPr>
          <w:iCs/>
        </w:rPr>
      </w:pPr>
    </w:p>
    <w:p w14:paraId="3F689E55" w14:textId="77777777" w:rsidR="00B432DE" w:rsidRDefault="00B432DE" w:rsidP="008244E5">
      <w:pPr>
        <w:rPr>
          <w:iCs/>
        </w:rPr>
      </w:pPr>
    </w:p>
    <w:p w14:paraId="266D6758" w14:textId="77777777" w:rsidR="00B432DE" w:rsidRDefault="00B432DE" w:rsidP="008244E5">
      <w:pPr>
        <w:rPr>
          <w:iCs/>
        </w:rPr>
        <w:sectPr w:rsidR="00B432DE" w:rsidSect="00B432DE">
          <w:pgSz w:w="16838" w:h="11906" w:orient="landscape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14:paraId="0A32F615" w14:textId="77777777" w:rsidR="00B432DE" w:rsidRDefault="00B432DE" w:rsidP="008244E5">
      <w:pPr>
        <w:rPr>
          <w:iCs/>
        </w:rPr>
      </w:pPr>
    </w:p>
    <w:p w14:paraId="74200A32" w14:textId="77777777" w:rsidR="00B432DE" w:rsidRPr="008244E5" w:rsidRDefault="00B432DE" w:rsidP="008244E5">
      <w:pPr>
        <w:rPr>
          <w:i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Policy Information"/>
        <w:tblDescription w:val="Strategic Link: Strategic Community Plan – Town Planning Scheme No.3&#10;Category: Planning - Town Planning and Development&#10;Business Unit: Development Services&#10;Public Consultation: (Yes or No): Yes&#10;Adoption Date: 10 September 2024"/>
      </w:tblPr>
      <w:tblGrid>
        <w:gridCol w:w="3397"/>
        <w:gridCol w:w="6231"/>
      </w:tblGrid>
      <w:tr w:rsidR="00B6629B" w14:paraId="69678D38" w14:textId="77777777" w:rsidTr="00B6629B">
        <w:trPr>
          <w:trHeight w:val="284"/>
        </w:trPr>
        <w:tc>
          <w:tcPr>
            <w:tcW w:w="3397" w:type="dxa"/>
            <w:vAlign w:val="center"/>
          </w:tcPr>
          <w:p w14:paraId="4681AE8C" w14:textId="77777777" w:rsidR="00B6629B" w:rsidRDefault="00B6629B" w:rsidP="00B6629B">
            <w:hyperlink w:anchor="Bookmark3" w:tooltip="Strategic Link – outline the Informing Strategy, Framework or Plan to provide a link to the Community Strategic Plan. Refer to the Category Index for guidance" w:history="1">
              <w:r w:rsidRPr="00F94F2C">
                <w:rPr>
                  <w:rStyle w:val="Hyperlink"/>
                  <w:rFonts w:eastAsiaTheme="majorEastAsia" w:cs="Arial"/>
                </w:rPr>
                <w:t>Strategic Link</w:t>
              </w:r>
            </w:hyperlink>
            <w:r>
              <w:rPr>
                <w:rFonts w:cs="Arial"/>
              </w:rPr>
              <w:t>:</w:t>
            </w:r>
          </w:p>
        </w:tc>
        <w:tc>
          <w:tcPr>
            <w:tcW w:w="6231" w:type="dxa"/>
            <w:vAlign w:val="center"/>
          </w:tcPr>
          <w:p w14:paraId="78121975" w14:textId="77777777" w:rsidR="00B6629B" w:rsidRDefault="00F722FD" w:rsidP="00B6629B">
            <w:r>
              <w:rPr>
                <w:rFonts w:cs="Arial"/>
              </w:rPr>
              <w:t>Town Planning Scheme No.3</w:t>
            </w:r>
          </w:p>
        </w:tc>
      </w:tr>
      <w:tr w:rsidR="00B6629B" w14:paraId="6949356A" w14:textId="77777777" w:rsidTr="00B6629B">
        <w:trPr>
          <w:trHeight w:val="284"/>
        </w:trPr>
        <w:tc>
          <w:tcPr>
            <w:tcW w:w="3397" w:type="dxa"/>
            <w:vAlign w:val="center"/>
          </w:tcPr>
          <w:p w14:paraId="44A196F4" w14:textId="77777777" w:rsidR="00B6629B" w:rsidRDefault="00B6629B" w:rsidP="00B6629B">
            <w:hyperlink w:anchor="Bookmark3" w:tooltip="Category – outline the relevant service or function that the content of the policies addresses. Refer to the Category Index for guidance" w:history="1">
              <w:r w:rsidRPr="00F94F2C">
                <w:rPr>
                  <w:rStyle w:val="Hyperlink"/>
                  <w:rFonts w:eastAsiaTheme="majorEastAsia" w:cs="Arial"/>
                </w:rPr>
                <w:t>Category</w:t>
              </w:r>
            </w:hyperlink>
            <w:r>
              <w:rPr>
                <w:rStyle w:val="Hyperlink"/>
                <w:rFonts w:eastAsiaTheme="majorEastAsia" w:cs="Arial"/>
              </w:rPr>
              <w:t>:</w:t>
            </w:r>
          </w:p>
        </w:tc>
        <w:tc>
          <w:tcPr>
            <w:tcW w:w="6231" w:type="dxa"/>
            <w:vAlign w:val="center"/>
          </w:tcPr>
          <w:p w14:paraId="0628E0EA" w14:textId="77777777" w:rsidR="00B6629B" w:rsidRDefault="00F722FD" w:rsidP="00B6629B">
            <w:r>
              <w:rPr>
                <w:rFonts w:eastAsia="Arial" w:cs="Arial"/>
              </w:rPr>
              <w:t>Planning – Town Planning &amp; Development</w:t>
            </w:r>
          </w:p>
        </w:tc>
      </w:tr>
      <w:tr w:rsidR="00B6629B" w14:paraId="54AE9FD9" w14:textId="77777777" w:rsidTr="00B6629B">
        <w:trPr>
          <w:trHeight w:val="284"/>
        </w:trPr>
        <w:tc>
          <w:tcPr>
            <w:tcW w:w="3397" w:type="dxa"/>
            <w:vAlign w:val="center"/>
          </w:tcPr>
          <w:p w14:paraId="38931D7E" w14:textId="77777777" w:rsidR="00B6629B" w:rsidRDefault="00B6629B" w:rsidP="00B6629B">
            <w:hyperlink w:anchor="Bookmark3" w:tooltip="Lead Business Unit – outline the business Unit responsible for reviewing the Policy, and conducting stakeholder consultation where necessary." w:history="1">
              <w:r w:rsidRPr="00F94F2C">
                <w:rPr>
                  <w:rStyle w:val="Hyperlink"/>
                  <w:rFonts w:eastAsiaTheme="majorEastAsia" w:cs="Arial"/>
                </w:rPr>
                <w:t>Lead Business Unit</w:t>
              </w:r>
            </w:hyperlink>
            <w:r>
              <w:rPr>
                <w:rStyle w:val="Hyperlink"/>
                <w:rFonts w:eastAsiaTheme="majorEastAsia" w:cs="Arial"/>
              </w:rPr>
              <w:t>:</w:t>
            </w:r>
          </w:p>
        </w:tc>
        <w:tc>
          <w:tcPr>
            <w:tcW w:w="6231" w:type="dxa"/>
            <w:vAlign w:val="center"/>
          </w:tcPr>
          <w:p w14:paraId="7EDF3985" w14:textId="77777777" w:rsidR="00B6629B" w:rsidRDefault="00F722FD" w:rsidP="00B6629B">
            <w:r>
              <w:rPr>
                <w:rFonts w:cs="Arial"/>
                <w:noProof/>
              </w:rPr>
              <w:t>Development Services</w:t>
            </w:r>
          </w:p>
        </w:tc>
      </w:tr>
      <w:tr w:rsidR="00B6629B" w14:paraId="2AE6CF0C" w14:textId="77777777" w:rsidTr="00B6629B">
        <w:trPr>
          <w:trHeight w:val="284"/>
        </w:trPr>
        <w:tc>
          <w:tcPr>
            <w:tcW w:w="3397" w:type="dxa"/>
            <w:vAlign w:val="center"/>
          </w:tcPr>
          <w:p w14:paraId="4A371D7A" w14:textId="77777777" w:rsidR="00B6629B" w:rsidRDefault="00B6629B" w:rsidP="00B6629B">
            <w:r w:rsidRPr="00B6629B">
              <w:t xml:space="preserve">Public Consultation: </w:t>
            </w:r>
            <w:r>
              <w:br/>
            </w:r>
            <w:r w:rsidRPr="00B6629B">
              <w:t>(Yes or No)</w:t>
            </w:r>
          </w:p>
        </w:tc>
        <w:tc>
          <w:tcPr>
            <w:tcW w:w="6231" w:type="dxa"/>
            <w:vAlign w:val="center"/>
          </w:tcPr>
          <w:p w14:paraId="3F729C66" w14:textId="77777777" w:rsidR="00B6629B" w:rsidRDefault="00F722FD" w:rsidP="00B6629B">
            <w:r>
              <w:t>Yes</w:t>
            </w:r>
          </w:p>
        </w:tc>
      </w:tr>
      <w:tr w:rsidR="00B6629B" w14:paraId="47A9CE8E" w14:textId="77777777" w:rsidTr="00B6629B">
        <w:trPr>
          <w:trHeight w:val="284"/>
        </w:trPr>
        <w:tc>
          <w:tcPr>
            <w:tcW w:w="3397" w:type="dxa"/>
            <w:vAlign w:val="center"/>
          </w:tcPr>
          <w:p w14:paraId="73A1B89A" w14:textId="77777777" w:rsidR="00B6629B" w:rsidRDefault="00B6629B" w:rsidP="00B6629B">
            <w:r w:rsidRPr="00B6629B">
              <w:t xml:space="preserve">Adoption Date: </w:t>
            </w:r>
            <w:r>
              <w:br/>
            </w:r>
            <w:r w:rsidRPr="00B6629B">
              <w:t>(Governance Purpose Only)</w:t>
            </w:r>
          </w:p>
        </w:tc>
        <w:tc>
          <w:tcPr>
            <w:tcW w:w="6231" w:type="dxa"/>
            <w:vAlign w:val="center"/>
          </w:tcPr>
          <w:p w14:paraId="1E33E375" w14:textId="5DBB0532" w:rsidR="00B6629B" w:rsidRDefault="00B54952" w:rsidP="00B6629B">
            <w:r>
              <w:rPr>
                <w:rFonts w:cs="Arial"/>
              </w:rPr>
              <w:t xml:space="preserve">12 </w:t>
            </w:r>
            <w:r w:rsidR="00EE4862">
              <w:rPr>
                <w:rFonts w:cs="Arial"/>
              </w:rPr>
              <w:t>May 2026</w:t>
            </w:r>
          </w:p>
        </w:tc>
      </w:tr>
      <w:tr w:rsidR="00B6629B" w14:paraId="56E61D1F" w14:textId="77777777" w:rsidTr="00B6629B">
        <w:trPr>
          <w:trHeight w:val="284"/>
        </w:trPr>
        <w:tc>
          <w:tcPr>
            <w:tcW w:w="3397" w:type="dxa"/>
            <w:vAlign w:val="center"/>
          </w:tcPr>
          <w:p w14:paraId="5865E943" w14:textId="77777777" w:rsidR="00B6629B" w:rsidRDefault="00B6629B" w:rsidP="00B6629B">
            <w:r w:rsidRPr="00B6629B">
              <w:t>Next Review Due: (Governance Purpose Only)</w:t>
            </w:r>
          </w:p>
        </w:tc>
        <w:tc>
          <w:tcPr>
            <w:tcW w:w="6231" w:type="dxa"/>
            <w:vAlign w:val="center"/>
          </w:tcPr>
          <w:p w14:paraId="58B29AB6" w14:textId="11F03E5C" w:rsidR="00B6629B" w:rsidRDefault="00EE4862" w:rsidP="00B6629B">
            <w:r>
              <w:rPr>
                <w:rFonts w:cs="Arial"/>
              </w:rPr>
              <w:t>May 2028</w:t>
            </w:r>
          </w:p>
        </w:tc>
      </w:tr>
      <w:tr w:rsidR="00B6629B" w14:paraId="7B0CAB98" w14:textId="77777777" w:rsidTr="00B6629B">
        <w:trPr>
          <w:trHeight w:val="284"/>
        </w:trPr>
        <w:tc>
          <w:tcPr>
            <w:tcW w:w="3397" w:type="dxa"/>
            <w:vAlign w:val="center"/>
          </w:tcPr>
          <w:p w14:paraId="54F80268" w14:textId="77777777" w:rsidR="00B6629B" w:rsidRDefault="00B6629B" w:rsidP="00B6629B">
            <w:r w:rsidRPr="00B6629B">
              <w:t>ECM Doc Set ID: (Governance Purpose Only)</w:t>
            </w:r>
          </w:p>
        </w:tc>
        <w:tc>
          <w:tcPr>
            <w:tcW w:w="6231" w:type="dxa"/>
            <w:vAlign w:val="center"/>
          </w:tcPr>
          <w:p w14:paraId="498128F2" w14:textId="3DFE1F75" w:rsidR="00B6629B" w:rsidRDefault="00D275D0" w:rsidP="00B6629B">
            <w:r w:rsidRPr="00D275D0">
              <w:t>5487140</w:t>
            </w:r>
          </w:p>
        </w:tc>
      </w:tr>
    </w:tbl>
    <w:p w14:paraId="301FE4B3" w14:textId="77777777" w:rsidR="00F66C90" w:rsidRDefault="00F66C90" w:rsidP="001846A8"/>
    <w:p w14:paraId="529571E1" w14:textId="77777777" w:rsidR="00F722FD" w:rsidRDefault="00F722FD" w:rsidP="001846A8"/>
    <w:sectPr w:rsidR="00F722FD" w:rsidSect="00B432DE"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40DF08" w14:textId="77777777" w:rsidR="00446CC1" w:rsidRDefault="00446CC1" w:rsidP="001F7EFD">
      <w:pPr>
        <w:spacing w:line="240" w:lineRule="auto"/>
      </w:pPr>
      <w:r>
        <w:separator/>
      </w:r>
    </w:p>
  </w:endnote>
  <w:endnote w:type="continuationSeparator" w:id="0">
    <w:p w14:paraId="2966A3F1" w14:textId="77777777" w:rsidR="00446CC1" w:rsidRDefault="00446CC1" w:rsidP="001F7E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BMKWU+ArialNarrow-Bold">
    <w:altName w:val="Arial Narro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74082439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30F9FF0" w14:textId="0AA4DA1F" w:rsidR="00554101" w:rsidRDefault="00554101" w:rsidP="007D2BB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236CF3"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-152286249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9777502" w14:textId="37C51EE8" w:rsidR="001F7EFD" w:rsidRDefault="001F7EFD" w:rsidP="00554101">
        <w:pPr>
          <w:pStyle w:val="Footer"/>
          <w:framePr w:wrap="none" w:vAnchor="text" w:hAnchor="margin" w:xAlign="right" w:y="1"/>
          <w:ind w:right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236CF3"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66D097C1" w14:textId="77777777" w:rsidR="001F7EFD" w:rsidRDefault="001F7EFD" w:rsidP="001F7EF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3E3CB" w14:textId="77777777" w:rsidR="00554101" w:rsidRPr="00554101" w:rsidRDefault="00554101" w:rsidP="007D2BB5">
    <w:pPr>
      <w:pStyle w:val="Footer"/>
      <w:framePr w:wrap="none" w:vAnchor="text" w:hAnchor="margin" w:xAlign="right" w:y="1"/>
      <w:rPr>
        <w:rStyle w:val="PageNumber"/>
        <w:sz w:val="20"/>
        <w:szCs w:val="20"/>
      </w:rPr>
    </w:pPr>
    <w:r w:rsidRPr="00554101">
      <w:rPr>
        <w:rStyle w:val="PageNumber"/>
        <w:sz w:val="20"/>
        <w:szCs w:val="20"/>
      </w:rPr>
      <w:t xml:space="preserve">page </w:t>
    </w:r>
    <w:sdt>
      <w:sdtPr>
        <w:rPr>
          <w:rStyle w:val="PageNumber"/>
          <w:sz w:val="20"/>
          <w:szCs w:val="20"/>
        </w:rPr>
        <w:id w:val="196737472"/>
        <w:docPartObj>
          <w:docPartGallery w:val="Page Numbers (Bottom of Page)"/>
          <w:docPartUnique/>
        </w:docPartObj>
      </w:sdtPr>
      <w:sdtEndPr>
        <w:rPr>
          <w:rStyle w:val="PageNumber"/>
        </w:rPr>
      </w:sdtEndPr>
      <w:sdtContent>
        <w:r w:rsidRPr="00554101">
          <w:rPr>
            <w:rStyle w:val="PageNumber"/>
            <w:sz w:val="20"/>
            <w:szCs w:val="20"/>
          </w:rPr>
          <w:fldChar w:fldCharType="begin"/>
        </w:r>
        <w:r w:rsidRPr="00554101">
          <w:rPr>
            <w:rStyle w:val="PageNumber"/>
            <w:sz w:val="20"/>
            <w:szCs w:val="20"/>
          </w:rPr>
          <w:instrText xml:space="preserve"> PAGE </w:instrText>
        </w:r>
        <w:r w:rsidRPr="00554101">
          <w:rPr>
            <w:rStyle w:val="PageNumber"/>
            <w:sz w:val="20"/>
            <w:szCs w:val="20"/>
          </w:rPr>
          <w:fldChar w:fldCharType="separate"/>
        </w:r>
        <w:r w:rsidRPr="00554101">
          <w:rPr>
            <w:rStyle w:val="PageNumber"/>
            <w:noProof/>
            <w:sz w:val="20"/>
            <w:szCs w:val="20"/>
          </w:rPr>
          <w:t>3</w:t>
        </w:r>
        <w:r w:rsidRPr="00554101">
          <w:rPr>
            <w:rStyle w:val="PageNumber"/>
            <w:sz w:val="20"/>
            <w:szCs w:val="20"/>
          </w:rPr>
          <w:fldChar w:fldCharType="end"/>
        </w:r>
      </w:sdtContent>
    </w:sdt>
  </w:p>
  <w:p w14:paraId="0BC6AECD" w14:textId="5E450D97" w:rsidR="00554101" w:rsidRDefault="00554101" w:rsidP="00554101">
    <w:pPr>
      <w:pStyle w:val="Footer"/>
      <w:ind w:right="360"/>
    </w:pPr>
    <w:r>
      <w:rPr>
        <w:sz w:val="20"/>
        <w:szCs w:val="20"/>
      </w:rPr>
      <w:t>City of Cockburn – Policy</w:t>
    </w:r>
    <w:r>
      <w:rPr>
        <w:sz w:val="20"/>
        <w:szCs w:val="20"/>
      </w:rPr>
      <w:tab/>
    </w:r>
  </w:p>
  <w:p w14:paraId="602CAFF5" w14:textId="1A2739FE" w:rsidR="001F7EFD" w:rsidRPr="00554101" w:rsidRDefault="00B432DE" w:rsidP="00554101">
    <w:pPr>
      <w:pStyle w:val="Footer"/>
      <w:jc w:val="right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3FD8D3E7" wp14:editId="21971CB9">
          <wp:simplePos x="0" y="0"/>
          <wp:positionH relativeFrom="page">
            <wp:align>left</wp:align>
          </wp:positionH>
          <wp:positionV relativeFrom="paragraph">
            <wp:posOffset>-469049</wp:posOffset>
          </wp:positionV>
          <wp:extent cx="10783019" cy="1048385"/>
          <wp:effectExtent l="0" t="0" r="0" b="0"/>
          <wp:wrapNone/>
          <wp:docPr id="28655967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655967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83019" cy="10483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A9D29" w14:textId="77777777" w:rsidR="009C62E2" w:rsidRDefault="009C62E2">
    <w:pPr>
      <w:pStyle w:val="Footer"/>
    </w:pPr>
    <w:r>
      <w:rPr>
        <w:noProof/>
      </w:rPr>
      <w:drawing>
        <wp:anchor distT="0" distB="0" distL="114300" distR="114300" simplePos="0" relativeHeight="251663360" behindDoc="1" locked="0" layoutInCell="1" allowOverlap="1" wp14:anchorId="111DCDB0" wp14:editId="18821206">
          <wp:simplePos x="0" y="0"/>
          <wp:positionH relativeFrom="page">
            <wp:align>right</wp:align>
          </wp:positionH>
          <wp:positionV relativeFrom="paragraph">
            <wp:posOffset>-379778</wp:posOffset>
          </wp:positionV>
          <wp:extent cx="10929668" cy="1048385"/>
          <wp:effectExtent l="0" t="0" r="5080" b="0"/>
          <wp:wrapNone/>
          <wp:docPr id="1157915740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655967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29668" cy="10483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9E70B" w14:textId="77777777" w:rsidR="00446CC1" w:rsidRDefault="00446CC1" w:rsidP="001F7EFD">
      <w:pPr>
        <w:spacing w:line="240" w:lineRule="auto"/>
      </w:pPr>
      <w:r>
        <w:separator/>
      </w:r>
    </w:p>
  </w:footnote>
  <w:footnote w:type="continuationSeparator" w:id="0">
    <w:p w14:paraId="60539424" w14:textId="77777777" w:rsidR="00446CC1" w:rsidRDefault="00446CC1" w:rsidP="001F7EF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03E25"/>
    <w:multiLevelType w:val="hybridMultilevel"/>
    <w:tmpl w:val="BC189624"/>
    <w:lvl w:ilvl="0" w:tplc="7D9EB98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447124"/>
    <w:multiLevelType w:val="hybridMultilevel"/>
    <w:tmpl w:val="92B49ACA"/>
    <w:lvl w:ilvl="0" w:tplc="0C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61EF67DA"/>
    <w:multiLevelType w:val="multilevel"/>
    <w:tmpl w:val="7076EC3A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94207461">
    <w:abstractNumId w:val="2"/>
  </w:num>
  <w:num w:numId="2" w16cid:durableId="847407645">
    <w:abstractNumId w:val="1"/>
  </w:num>
  <w:num w:numId="3" w16cid:durableId="565188699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CC1"/>
    <w:rsid w:val="00097410"/>
    <w:rsid w:val="000C0F25"/>
    <w:rsid w:val="001846A8"/>
    <w:rsid w:val="001F7944"/>
    <w:rsid w:val="001F7EFD"/>
    <w:rsid w:val="00236CF3"/>
    <w:rsid w:val="0024194A"/>
    <w:rsid w:val="002638F1"/>
    <w:rsid w:val="002B131C"/>
    <w:rsid w:val="002C4BAD"/>
    <w:rsid w:val="002E7313"/>
    <w:rsid w:val="0030612E"/>
    <w:rsid w:val="00446CC1"/>
    <w:rsid w:val="004B7AC1"/>
    <w:rsid w:val="00554101"/>
    <w:rsid w:val="005F1700"/>
    <w:rsid w:val="007A4FF1"/>
    <w:rsid w:val="007D500E"/>
    <w:rsid w:val="00811E1E"/>
    <w:rsid w:val="008244E5"/>
    <w:rsid w:val="00854990"/>
    <w:rsid w:val="008723A0"/>
    <w:rsid w:val="00880835"/>
    <w:rsid w:val="00886D5E"/>
    <w:rsid w:val="00890625"/>
    <w:rsid w:val="00931ADA"/>
    <w:rsid w:val="009C62E2"/>
    <w:rsid w:val="00A46AD1"/>
    <w:rsid w:val="00B37A58"/>
    <w:rsid w:val="00B432DE"/>
    <w:rsid w:val="00B44F70"/>
    <w:rsid w:val="00B54952"/>
    <w:rsid w:val="00B6629B"/>
    <w:rsid w:val="00C0253E"/>
    <w:rsid w:val="00C8322E"/>
    <w:rsid w:val="00CC5E57"/>
    <w:rsid w:val="00D275D0"/>
    <w:rsid w:val="00D70B88"/>
    <w:rsid w:val="00DD2318"/>
    <w:rsid w:val="00E80AB0"/>
    <w:rsid w:val="00EA34E3"/>
    <w:rsid w:val="00EE4862"/>
    <w:rsid w:val="00EF0916"/>
    <w:rsid w:val="00F63CC5"/>
    <w:rsid w:val="00F66C90"/>
    <w:rsid w:val="00F722FD"/>
    <w:rsid w:val="00F7712C"/>
    <w:rsid w:val="00FD2B33"/>
    <w:rsid w:val="00FF0745"/>
    <w:rsid w:val="55FFE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EB76D3"/>
  <w15:chartTrackingRefBased/>
  <w15:docId w15:val="{A02725F8-D3D3-471D-8806-A6037E52F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34E3"/>
    <w:pPr>
      <w:spacing w:line="288" w:lineRule="auto"/>
    </w:pPr>
    <w:rPr>
      <w:rFonts w:ascii="Arial" w:eastAsia="Times New Roman" w:hAnsi="Arial" w:cs="Times New Roman"/>
      <w:color w:val="000000" w:themeColor="text1"/>
      <w:kern w:val="0"/>
      <w:lang w:eastAsia="en-AU"/>
      <w14:ligatures w14:val="none"/>
    </w:rPr>
  </w:style>
  <w:style w:type="paragraph" w:styleId="Heading1">
    <w:name w:val="heading 1"/>
    <w:next w:val="Normal"/>
    <w:link w:val="Heading1Char"/>
    <w:uiPriority w:val="9"/>
    <w:qFormat/>
    <w:rsid w:val="001846A8"/>
    <w:pPr>
      <w:keepNext/>
      <w:keepLines/>
      <w:spacing w:after="120"/>
      <w:outlineLvl w:val="0"/>
    </w:pPr>
    <w:rPr>
      <w:rFonts w:ascii="Arial" w:eastAsiaTheme="majorEastAsia" w:hAnsi="Arial" w:cs="Times New Roman (Headings CS)"/>
      <w:b/>
      <w:color w:val="173C67"/>
      <w:kern w:val="0"/>
      <w:sz w:val="28"/>
      <w:szCs w:val="40"/>
      <w:lang w:eastAsia="en-AU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38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38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38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38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38F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38F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38F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38F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46A8"/>
    <w:rPr>
      <w:rFonts w:ascii="Arial" w:eastAsiaTheme="majorEastAsia" w:hAnsi="Arial" w:cs="Times New Roman (Headings CS)"/>
      <w:b/>
      <w:color w:val="173C67"/>
      <w:kern w:val="0"/>
      <w:sz w:val="28"/>
      <w:szCs w:val="40"/>
      <w:lang w:eastAsia="en-AU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38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38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38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38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38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38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38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38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7313"/>
    <w:pPr>
      <w:spacing w:after="80"/>
      <w:contextualSpacing/>
    </w:pPr>
    <w:rPr>
      <w:rFonts w:eastAsiaTheme="majorEastAsia" w:cs="Times New Roman (Headings CS)"/>
      <w:kern w:val="28"/>
      <w:sz w:val="3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E7313"/>
    <w:rPr>
      <w:rFonts w:ascii="Arial" w:eastAsiaTheme="majorEastAsia" w:hAnsi="Arial" w:cs="Times New Roman (Headings CS)"/>
      <w:color w:val="000000" w:themeColor="text1"/>
      <w:kern w:val="28"/>
      <w:sz w:val="36"/>
      <w:szCs w:val="56"/>
    </w:rPr>
  </w:style>
  <w:style w:type="paragraph" w:styleId="Subtitle">
    <w:name w:val="Subtitle"/>
    <w:next w:val="Normal"/>
    <w:link w:val="SubtitleChar"/>
    <w:uiPriority w:val="11"/>
    <w:qFormat/>
    <w:rsid w:val="001846A8"/>
    <w:pPr>
      <w:numPr>
        <w:ilvl w:val="1"/>
      </w:numPr>
    </w:pPr>
    <w:rPr>
      <w:rFonts w:ascii="Arial" w:eastAsiaTheme="majorEastAsia" w:hAnsi="Arial" w:cs="Times New Roman (Headings CS)"/>
      <w:color w:val="000000" w:themeColor="text1"/>
      <w:kern w:val="0"/>
      <w:sz w:val="28"/>
      <w:szCs w:val="28"/>
      <w:lang w:eastAsia="en-AU"/>
      <w14:ligatures w14:val="none"/>
    </w:rPr>
  </w:style>
  <w:style w:type="character" w:customStyle="1" w:styleId="SubtitleChar">
    <w:name w:val="Subtitle Char"/>
    <w:basedOn w:val="DefaultParagraphFont"/>
    <w:link w:val="Subtitle"/>
    <w:uiPriority w:val="11"/>
    <w:rsid w:val="001846A8"/>
    <w:rPr>
      <w:rFonts w:ascii="Arial" w:eastAsiaTheme="majorEastAsia" w:hAnsi="Arial" w:cs="Times New Roman (Headings CS)"/>
      <w:color w:val="000000" w:themeColor="text1"/>
      <w:kern w:val="0"/>
      <w:sz w:val="28"/>
      <w:szCs w:val="28"/>
      <w:lang w:eastAsia="en-AU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2638F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38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38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38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38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38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38F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2638F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2638F1"/>
    <w:rPr>
      <w:rFonts w:ascii="Times New Roman" w:eastAsia="Times New Roman" w:hAnsi="Times New Roman" w:cs="Times New Roman"/>
      <w:kern w:val="0"/>
      <w:lang w:eastAsia="en-AU"/>
      <w14:ligatures w14:val="none"/>
    </w:rPr>
  </w:style>
  <w:style w:type="character" w:styleId="Hyperlink">
    <w:name w:val="Hyperlink"/>
    <w:rsid w:val="00EA34E3"/>
    <w:rPr>
      <w:rFonts w:ascii="Arial" w:hAnsi="Arial"/>
      <w:color w:val="auto"/>
      <w:u w:val="none"/>
    </w:rPr>
  </w:style>
  <w:style w:type="paragraph" w:styleId="CommentText">
    <w:name w:val="annotation text"/>
    <w:basedOn w:val="Normal"/>
    <w:link w:val="CommentTextChar"/>
    <w:unhideWhenUsed/>
    <w:rsid w:val="00EA34E3"/>
    <w:pPr>
      <w:spacing w:line="240" w:lineRule="auto"/>
    </w:pPr>
    <w:rPr>
      <w:rFonts w:ascii="Times New Roman" w:hAnsi="Times New Roman"/>
      <w:color w:val="auto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A34E3"/>
    <w:rPr>
      <w:rFonts w:ascii="Times New Roman" w:eastAsia="Times New Roman" w:hAnsi="Times New Roman" w:cs="Times New Roman"/>
      <w:kern w:val="0"/>
      <w:sz w:val="20"/>
      <w:szCs w:val="20"/>
      <w:lang w:eastAsia="en-AU"/>
      <w14:ligatures w14:val="none"/>
    </w:rPr>
  </w:style>
  <w:style w:type="character" w:styleId="CommentReference">
    <w:name w:val="annotation reference"/>
    <w:basedOn w:val="DefaultParagraphFont"/>
    <w:semiHidden/>
    <w:unhideWhenUsed/>
    <w:rsid w:val="00EA34E3"/>
    <w:rPr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FD2B33"/>
    <w:rPr>
      <w:color w:val="96607D" w:themeColor="followedHyperlink"/>
      <w:u w:val="single"/>
    </w:rPr>
  </w:style>
  <w:style w:type="paragraph" w:styleId="NoSpacing">
    <w:name w:val="No Spacing"/>
    <w:uiPriority w:val="1"/>
    <w:qFormat/>
    <w:rsid w:val="00FD2B33"/>
    <w:rPr>
      <w:rFonts w:ascii="Arial" w:eastAsia="Times New Roman" w:hAnsi="Arial" w:cs="Times New Roman"/>
      <w:color w:val="000000" w:themeColor="text1"/>
      <w:kern w:val="0"/>
      <w:lang w:eastAsia="en-AU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F7EFD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7EFD"/>
    <w:rPr>
      <w:rFonts w:ascii="Arial" w:eastAsia="Times New Roman" w:hAnsi="Arial" w:cs="Times New Roman"/>
      <w:color w:val="000000" w:themeColor="text1"/>
      <w:kern w:val="0"/>
      <w:lang w:eastAsia="en-AU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1F7EFD"/>
  </w:style>
  <w:style w:type="table" w:styleId="TableGrid">
    <w:name w:val="Table Grid"/>
    <w:basedOn w:val="TableNormal"/>
    <w:uiPriority w:val="59"/>
    <w:rsid w:val="00B662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66C9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54952"/>
    <w:rPr>
      <w:rFonts w:ascii="Arial" w:eastAsia="Times New Roman" w:hAnsi="Arial" w:cs="Times New Roman"/>
      <w:color w:val="000000" w:themeColor="text1"/>
      <w:kern w:val="0"/>
      <w:lang w:eastAsia="en-AU"/>
      <w14:ligatures w14:val="none"/>
    </w:rPr>
  </w:style>
  <w:style w:type="paragraph" w:customStyle="1" w:styleId="Default">
    <w:name w:val="Default"/>
    <w:uiPriority w:val="99"/>
    <w:rsid w:val="00236CF3"/>
    <w:pPr>
      <w:widowControl w:val="0"/>
      <w:autoSpaceDE w:val="0"/>
      <w:autoSpaceDN w:val="0"/>
      <w:adjustRightInd w:val="0"/>
    </w:pPr>
    <w:rPr>
      <w:rFonts w:ascii="FBMKWU+ArialNarrow-Bold" w:eastAsia="Times New Roman" w:hAnsi="FBMKWU+ArialNarrow-Bold" w:cs="FBMKWU+ArialNarrow-Bold"/>
      <w:color w:val="000000"/>
      <w:kern w:val="0"/>
      <w:lang w:eastAsia="en-AU"/>
      <w14:ligatures w14:val="none"/>
    </w:rPr>
  </w:style>
  <w:style w:type="paragraph" w:customStyle="1" w:styleId="CM12">
    <w:name w:val="CM12"/>
    <w:basedOn w:val="Default"/>
    <w:next w:val="Default"/>
    <w:uiPriority w:val="99"/>
    <w:rsid w:val="00236CF3"/>
    <w:rPr>
      <w:color w:val="auto"/>
    </w:rPr>
  </w:style>
  <w:style w:type="paragraph" w:customStyle="1" w:styleId="CM1">
    <w:name w:val="CM1"/>
    <w:basedOn w:val="Default"/>
    <w:next w:val="Default"/>
    <w:uiPriority w:val="99"/>
    <w:rsid w:val="00236CF3"/>
    <w:pPr>
      <w:spacing w:line="276" w:lineRule="atLeast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55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BE33B2-4F11-41D0-B19F-D8EC0C230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685</Words>
  <Characters>3744</Characters>
  <Application>Microsoft Office Word</Application>
  <DocSecurity>0</DocSecurity>
  <Lines>149</Lines>
  <Paragraphs>70</Paragraphs>
  <ScaleCrop>false</ScaleCrop>
  <Manager/>
  <Company>City of Cockburn</Company>
  <LinksUpToDate>false</LinksUpToDate>
  <CharactersWithSpaces>4359</CharactersWithSpaces>
  <SharedDoc>false</SharedDoc>
  <HyperlinkBase>https://www.cockburn.wa.gov.au/City-and-Council/Governance-and-Documents/Council-Policies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Policy</dc:title>
  <dc:subject/>
  <dc:creator>Bernie</dc:creator>
  <cp:keywords>City of Cockburn; Policy document;</cp:keywords>
  <dc:description>For more information please email: governance@cockburn.wa.gov.au</dc:description>
  <cp:lastModifiedBy>Anneliese Schutz</cp:lastModifiedBy>
  <cp:revision>6</cp:revision>
  <dcterms:created xsi:type="dcterms:W3CDTF">2024-12-12T06:33:00Z</dcterms:created>
  <dcterms:modified xsi:type="dcterms:W3CDTF">2026-05-15T05:11:00Z</dcterms:modified>
  <cp:category>Policy</cp:category>
</cp:coreProperties>
</file>