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9D" w:rsidRPr="00F94F2C" w:rsidRDefault="00656C9D" w:rsidP="00656C9D">
      <w:pPr>
        <w:tabs>
          <w:tab w:val="left" w:pos="9026"/>
        </w:tabs>
        <w:spacing w:before="2"/>
        <w:ind w:right="-46"/>
        <w:rPr>
          <w:rFonts w:ascii="Arial" w:hAnsi="Arial" w:cs="Arial"/>
          <w:b/>
        </w:rPr>
      </w:pPr>
      <w:bookmarkStart w:id="0" w:name="_top"/>
      <w:bookmarkEnd w:id="0"/>
    </w:p>
    <w:p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5CDF57CA" wp14:editId="7F37CBFA">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rsidR="00656C9D" w:rsidRPr="00F94F2C" w:rsidRDefault="00656C9D" w:rsidP="00656C9D">
      <w:pPr>
        <w:tabs>
          <w:tab w:val="left" w:pos="9026"/>
        </w:tabs>
        <w:spacing w:before="2"/>
        <w:ind w:right="-46"/>
        <w:rPr>
          <w:rFonts w:ascii="Arial" w:hAnsi="Arial" w:cs="Arial"/>
          <w:b/>
        </w:rPr>
      </w:pPr>
    </w:p>
    <w:p w:rsidR="00656C9D" w:rsidRPr="00F94F2C" w:rsidRDefault="00321FE8" w:rsidP="00656C9D">
      <w:pPr>
        <w:tabs>
          <w:tab w:val="left" w:pos="9026"/>
        </w:tabs>
        <w:spacing w:before="2"/>
        <w:ind w:right="-46"/>
        <w:rPr>
          <w:rFonts w:ascii="Arial" w:hAnsi="Arial" w:cs="Arial"/>
        </w:rPr>
      </w:pPr>
      <w:r>
        <w:rPr>
          <w:rFonts w:ascii="Arial" w:hAnsi="Arial" w:cs="Arial"/>
        </w:rPr>
        <w:t>Administrative</w:t>
      </w:r>
    </w:p>
    <w:p w:rsidR="00151611" w:rsidRPr="00F94F2C" w:rsidRDefault="00151611" w:rsidP="00656C9D">
      <w:pPr>
        <w:tabs>
          <w:tab w:val="left" w:pos="9026"/>
        </w:tabs>
        <w:spacing w:before="2"/>
        <w:ind w:right="-46"/>
        <w:rPr>
          <w:rFonts w:ascii="Arial" w:hAnsi="Arial" w:cs="Arial"/>
        </w:rPr>
      </w:pPr>
    </w:p>
    <w:p w:rsidR="00151611" w:rsidRPr="00F94F2C" w:rsidRDefault="00151611" w:rsidP="00656C9D">
      <w:pPr>
        <w:tabs>
          <w:tab w:val="left" w:pos="9026"/>
        </w:tabs>
        <w:spacing w:before="2"/>
        <w:ind w:right="-46"/>
        <w:rPr>
          <w:rFonts w:ascii="Arial" w:hAnsi="Arial" w:cs="Arial"/>
        </w:rPr>
      </w:pPr>
    </w:p>
    <w:p w:rsidR="00656C9D" w:rsidRPr="00F94F2C" w:rsidRDefault="00CE1297"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1A992FBB" wp14:editId="01C8E0CB">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rsidR="00321FE8" w:rsidRPr="00321FE8" w:rsidRDefault="00321FE8" w:rsidP="00321FE8">
      <w:pPr>
        <w:tabs>
          <w:tab w:val="left" w:pos="9026"/>
        </w:tabs>
        <w:spacing w:before="2"/>
        <w:ind w:right="-46"/>
        <w:rPr>
          <w:rFonts w:ascii="Arial" w:hAnsi="Arial" w:cs="Arial"/>
        </w:rPr>
      </w:pPr>
      <w:r w:rsidRPr="00321FE8">
        <w:rPr>
          <w:rFonts w:ascii="Arial" w:hAnsi="Arial" w:cs="Arial"/>
        </w:rPr>
        <w:t xml:space="preserve">The purpose of this policy is to enable a ratepayer experiencing hardship to make an application to the City to </w:t>
      </w:r>
      <w:r w:rsidR="00044595">
        <w:rPr>
          <w:rFonts w:ascii="Arial" w:hAnsi="Arial" w:cs="Arial"/>
        </w:rPr>
        <w:t xml:space="preserve">defer </w:t>
      </w:r>
      <w:r w:rsidRPr="00321FE8">
        <w:rPr>
          <w:rFonts w:ascii="Arial" w:hAnsi="Arial" w:cs="Arial"/>
        </w:rPr>
        <w:t>the payment of rates and charges or make payments towards their outstanding rates and charges that is affordable given their individual circumstances. This policy also provides ratepayers with a clear, transparent understanding of the options and assistance available if currently experiencing, or at the risk of experiencing hardship.</w:t>
      </w:r>
    </w:p>
    <w:p w:rsidR="00321FE8" w:rsidRPr="00321FE8" w:rsidRDefault="00321FE8" w:rsidP="00321FE8">
      <w:pPr>
        <w:tabs>
          <w:tab w:val="left" w:pos="9026"/>
        </w:tabs>
        <w:spacing w:before="2"/>
        <w:ind w:right="-46"/>
        <w:rPr>
          <w:rFonts w:ascii="Arial" w:hAnsi="Arial" w:cs="Arial"/>
        </w:rPr>
      </w:pPr>
    </w:p>
    <w:p w:rsidR="00321FE8" w:rsidRPr="00321FE8" w:rsidRDefault="00321FE8" w:rsidP="00321FE8">
      <w:pPr>
        <w:tabs>
          <w:tab w:val="left" w:pos="9026"/>
        </w:tabs>
        <w:spacing w:before="2"/>
        <w:ind w:right="-46"/>
        <w:rPr>
          <w:rFonts w:ascii="Arial" w:hAnsi="Arial" w:cs="Arial"/>
        </w:rPr>
      </w:pPr>
      <w:r w:rsidRPr="00321FE8">
        <w:rPr>
          <w:rFonts w:ascii="Arial" w:hAnsi="Arial" w:cs="Arial"/>
        </w:rPr>
        <w:t xml:space="preserve">This policy </w:t>
      </w:r>
      <w:r w:rsidR="007C0FF9">
        <w:rPr>
          <w:rFonts w:ascii="Arial" w:hAnsi="Arial" w:cs="Arial"/>
        </w:rPr>
        <w:t xml:space="preserve">complements </w:t>
      </w:r>
      <w:r w:rsidRPr="00321FE8">
        <w:rPr>
          <w:rFonts w:ascii="Arial" w:hAnsi="Arial" w:cs="Arial"/>
        </w:rPr>
        <w:t>Council’s existing Debtors Management Policy</w:t>
      </w:r>
      <w:r>
        <w:rPr>
          <w:rFonts w:ascii="Arial" w:hAnsi="Arial" w:cs="Arial"/>
        </w:rPr>
        <w:t xml:space="preserve"> (DMP)</w:t>
      </w:r>
      <w:r w:rsidRPr="00321FE8">
        <w:rPr>
          <w:rFonts w:ascii="Arial" w:hAnsi="Arial" w:cs="Arial"/>
        </w:rPr>
        <w:t xml:space="preserve">. The DMP does not extend to include the management of hardship applications, as these require more specialised attention. </w:t>
      </w:r>
    </w:p>
    <w:p w:rsidR="00321FE8" w:rsidRPr="00321FE8" w:rsidRDefault="00321FE8" w:rsidP="00321FE8">
      <w:pPr>
        <w:tabs>
          <w:tab w:val="left" w:pos="9026"/>
        </w:tabs>
        <w:spacing w:before="2"/>
        <w:ind w:right="-46"/>
        <w:rPr>
          <w:rFonts w:ascii="Arial" w:hAnsi="Arial" w:cs="Arial"/>
        </w:rPr>
      </w:pPr>
    </w:p>
    <w:p w:rsidR="00321FE8" w:rsidRPr="00321FE8" w:rsidRDefault="00321FE8" w:rsidP="00321FE8">
      <w:pPr>
        <w:tabs>
          <w:tab w:val="left" w:pos="9026"/>
        </w:tabs>
        <w:spacing w:before="2"/>
        <w:ind w:right="-46"/>
        <w:rPr>
          <w:rFonts w:ascii="Arial" w:hAnsi="Arial" w:cs="Arial"/>
        </w:rPr>
      </w:pPr>
      <w:r w:rsidRPr="00321FE8">
        <w:rPr>
          <w:rFonts w:ascii="Arial" w:hAnsi="Arial" w:cs="Arial"/>
        </w:rPr>
        <w:t xml:space="preserve">This policy defines hardship and </w:t>
      </w:r>
      <w:r w:rsidR="0063666A">
        <w:rPr>
          <w:rFonts w:ascii="Arial" w:hAnsi="Arial" w:cs="Arial"/>
        </w:rPr>
        <w:t xml:space="preserve">is supported by </w:t>
      </w:r>
      <w:r w:rsidR="00572A67">
        <w:rPr>
          <w:rFonts w:ascii="Arial" w:hAnsi="Arial" w:cs="Arial"/>
        </w:rPr>
        <w:t>procedures</w:t>
      </w:r>
      <w:r w:rsidRPr="00321FE8">
        <w:rPr>
          <w:rFonts w:ascii="Arial" w:hAnsi="Arial" w:cs="Arial"/>
        </w:rPr>
        <w:t xml:space="preserve">, relating to the possible granting of a </w:t>
      </w:r>
      <w:r w:rsidR="00E80A08">
        <w:rPr>
          <w:rFonts w:ascii="Arial" w:hAnsi="Arial" w:cs="Arial"/>
        </w:rPr>
        <w:t>deferral</w:t>
      </w:r>
      <w:r w:rsidRPr="00321FE8">
        <w:rPr>
          <w:rFonts w:ascii="Arial" w:hAnsi="Arial" w:cs="Arial"/>
        </w:rPr>
        <w:t xml:space="preserve"> of payment of levied rates and charges.</w:t>
      </w:r>
    </w:p>
    <w:p w:rsidR="00321FE8" w:rsidRPr="00321FE8" w:rsidRDefault="00321FE8" w:rsidP="00321FE8">
      <w:pPr>
        <w:tabs>
          <w:tab w:val="left" w:pos="9026"/>
        </w:tabs>
        <w:spacing w:before="2"/>
        <w:ind w:right="-46"/>
        <w:rPr>
          <w:rFonts w:ascii="Arial" w:hAnsi="Arial" w:cs="Arial"/>
        </w:rPr>
      </w:pPr>
    </w:p>
    <w:p w:rsidR="00151611" w:rsidRPr="00F94F2C" w:rsidRDefault="00321FE8" w:rsidP="00321FE8">
      <w:pPr>
        <w:tabs>
          <w:tab w:val="left" w:pos="9026"/>
        </w:tabs>
        <w:spacing w:before="2"/>
        <w:ind w:right="-46"/>
        <w:rPr>
          <w:rFonts w:ascii="Arial" w:hAnsi="Arial" w:cs="Arial"/>
        </w:rPr>
      </w:pPr>
      <w:r w:rsidRPr="00171D49">
        <w:rPr>
          <w:rFonts w:ascii="Arial" w:hAnsi="Arial" w:cs="Arial"/>
        </w:rPr>
        <w:t xml:space="preserve">As a general principle, hardship assistance should only be granted to individuals experiencing hardship, with regard to the rates on their primary residence. Applications for hardship assistance for residential investment, commercial or industrial properties </w:t>
      </w:r>
      <w:r w:rsidR="007C0FF9" w:rsidRPr="00171D49">
        <w:rPr>
          <w:rFonts w:ascii="Arial" w:hAnsi="Arial" w:cs="Arial"/>
        </w:rPr>
        <w:t>will generally not be supported, unless</w:t>
      </w:r>
      <w:r w:rsidR="007C0FF9">
        <w:rPr>
          <w:rFonts w:ascii="Arial" w:hAnsi="Arial" w:cs="Arial"/>
        </w:rPr>
        <w:t xml:space="preserve"> under </w:t>
      </w:r>
      <w:r w:rsidR="00171D49">
        <w:rPr>
          <w:rFonts w:ascii="Arial" w:hAnsi="Arial" w:cs="Arial"/>
        </w:rPr>
        <w:t>wide spread emerg</w:t>
      </w:r>
      <w:r w:rsidR="007C0FF9">
        <w:rPr>
          <w:rFonts w:ascii="Arial" w:hAnsi="Arial" w:cs="Arial"/>
        </w:rPr>
        <w:t>ency</w:t>
      </w:r>
      <w:r w:rsidR="00171D49">
        <w:rPr>
          <w:rFonts w:ascii="Arial" w:hAnsi="Arial" w:cs="Arial"/>
        </w:rPr>
        <w:t xml:space="preserve"> situations.</w:t>
      </w:r>
    </w:p>
    <w:p w:rsidR="00151611" w:rsidRDefault="00151611" w:rsidP="00151611">
      <w:pPr>
        <w:tabs>
          <w:tab w:val="left" w:pos="9026"/>
        </w:tabs>
        <w:spacing w:before="2"/>
        <w:ind w:right="-46"/>
        <w:rPr>
          <w:rFonts w:ascii="Arial" w:hAnsi="Arial" w:cs="Arial"/>
        </w:rPr>
      </w:pPr>
    </w:p>
    <w:p w:rsidR="0063666A" w:rsidRPr="00F94F2C" w:rsidRDefault="00CE1297" w:rsidP="0063666A">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3666A">
          <w:rPr>
            <w:rStyle w:val="Hyperlink"/>
            <w:rFonts w:cs="Arial"/>
            <w:b/>
            <w:bCs/>
          </w:rPr>
          <w:t>Definitions</w:t>
        </w:r>
      </w:hyperlink>
    </w:p>
    <w:p w:rsidR="0063666A" w:rsidRPr="00F94F2C" w:rsidRDefault="0063666A" w:rsidP="0063666A">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62848" behindDoc="0" locked="0" layoutInCell="1" allowOverlap="1" wp14:anchorId="1843D2E9" wp14:editId="7CFEE485">
                <wp:simplePos x="0" y="0"/>
                <wp:positionH relativeFrom="column">
                  <wp:posOffset>0</wp:posOffset>
                </wp:positionH>
                <wp:positionV relativeFrom="paragraph">
                  <wp:posOffset>57784</wp:posOffset>
                </wp:positionV>
                <wp:extent cx="6057900" cy="0"/>
                <wp:effectExtent l="0" t="0" r="1270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n5QEAAMUDAAAOAAAAZHJzL2Uyb0RvYy54bWysU01v2zAMvQ/YfxB0X5y0SLsZcXpI0F26&#10;LUC7H8DKsi1MEgVRjZN/P0pOsra7DfNBoPjxxEc+r+4Ozoq9jmTQN3Ixm0uhvcLW+L6RP5/uP32W&#10;ghL4Fix63cijJnm3/vhhNYZaX+GAttVRMIinegyNHFIKdVWRGrQDmmHQnoMdRgeJr7Gv2ggjoztb&#10;Xc3nN9WIsQ0RlSZi73YKynXB7zqt0o+uI52EbST3lsoZy/mcz2q9grqPEAajTm3AP3ThwHh+9AK1&#10;hQTiJZq/oJxREQm7NFPoKuw6o3ThwGwW83dsHgcIunDh4VC4jIn+H6z6vt9FYdpGXkvhwfGKHlME&#10;0w9JbNB7HiBGcZ3nNAaqOX3jdzEzVQf/GB5Q/SKOVW+C+UJhSjt00eV0pioOZe7Hy9z1IQnFzpv5&#10;8vbLnNejzrEK6nNhiJS+anQiG420xueRQA37B0r5aajPKdnt8d5YW9ZqvRiZ1+J2ycjA4uosJDZd&#10;YLrkeynA9qxalWJBJLSmzdUZh460sVHsgYXDemtxfOJ2pbBAiQPMoXyl0L64b9hOucvsnmTFbhbf&#10;Oze3O0GXzt88mWlsgYapooQyEFdYn1vSRc8n1n9mnK1nbI+7eF4Ea6WUnXSdxfj6zvbrv2/9GwAA&#10;//8DAFBLAwQUAAYACAAAACEAXC3+6tkAAAAEAQAADwAAAGRycy9kb3ducmV2LnhtbEyPQUvDQBCF&#10;74L/YRnBm91EarExm1Kl4k1oFdHbNDsm0d3ZkN028d87etHjxxve+6ZcTd6pIw2xC2wgn2WgiOtg&#10;O24MPD/dX1yDignZogtMBr4owqo6PSmxsGHkLR13qVFSwrFAA21KfaF1rFvyGGehJ5bsPQwek+DQ&#10;aDvgKOXe6cssW2iPHctCiz3dtVR/7g7ewIPtbt3juPWLt/VLNs8/Nq80bYw5P5vWN6ASTenvGH70&#10;RR0qcdqHA9uonAF5JBlY5qAkXF7Nhfe/rKtS/5evvgEAAP//AwBQSwECLQAUAAYACAAAACEAtoM4&#10;kv4AAADhAQAAEwAAAAAAAAAAAAAAAAAAAAAAW0NvbnRlbnRfVHlwZXNdLnhtbFBLAQItABQABgAI&#10;AAAAIQA4/SH/1gAAAJQBAAALAAAAAAAAAAAAAAAAAC8BAABfcmVscy8ucmVsc1BLAQItABQABgAI&#10;AAAAIQCGe+6n5QEAAMUDAAAOAAAAAAAAAAAAAAAAAC4CAABkcnMvZTJvRG9jLnhtbFBLAQItABQA&#10;BgAIAAAAIQBcLf7q2QAAAAQBAAAPAAAAAAAAAAAAAAAAAD8EAABkcnMvZG93bnJldi54bWxQSwUG&#10;AAAAAAQABADzAAAARQUAAAAA&#10;" strokecolor="#7f7f7f" strokeweight=".25pt">
                <o:lock v:ext="edit" shapetype="f"/>
              </v:line>
            </w:pict>
          </mc:Fallback>
        </mc:AlternateContent>
      </w:r>
    </w:p>
    <w:p w:rsidR="0063666A" w:rsidRPr="0063666A" w:rsidRDefault="0063666A" w:rsidP="0063666A">
      <w:pPr>
        <w:rPr>
          <w:rFonts w:ascii="Arial" w:hAnsi="Arial" w:cs="Arial"/>
          <w:b/>
        </w:rPr>
      </w:pPr>
      <w:r w:rsidRPr="0063666A">
        <w:rPr>
          <w:rFonts w:ascii="Arial" w:hAnsi="Arial" w:cs="Arial"/>
          <w:b/>
        </w:rPr>
        <w:t>Hardship</w:t>
      </w:r>
    </w:p>
    <w:p w:rsidR="0063666A" w:rsidRPr="0063666A" w:rsidRDefault="0063666A" w:rsidP="0063666A">
      <w:pPr>
        <w:rPr>
          <w:rFonts w:ascii="Arial" w:hAnsi="Arial" w:cs="Arial"/>
        </w:rPr>
      </w:pPr>
      <w:r w:rsidRPr="0063666A">
        <w:rPr>
          <w:rFonts w:ascii="Arial" w:hAnsi="Arial" w:cs="Arial"/>
        </w:rPr>
        <w:t xml:space="preserve">Factors contributing to serious hardship generally include: </w:t>
      </w:r>
    </w:p>
    <w:p w:rsidR="0063666A" w:rsidRPr="0063666A" w:rsidRDefault="0063666A" w:rsidP="000C530C">
      <w:pPr>
        <w:pStyle w:val="ListParagraph"/>
        <w:numPr>
          <w:ilvl w:val="0"/>
          <w:numId w:val="9"/>
        </w:numPr>
        <w:ind w:left="540" w:hanging="540"/>
        <w:rPr>
          <w:rFonts w:ascii="Arial" w:hAnsi="Arial" w:cs="Arial"/>
        </w:rPr>
      </w:pPr>
      <w:r w:rsidRPr="0063666A">
        <w:rPr>
          <w:rFonts w:ascii="Arial" w:hAnsi="Arial" w:cs="Arial"/>
        </w:rPr>
        <w:t>family tragedy</w:t>
      </w:r>
    </w:p>
    <w:p w:rsidR="0063666A" w:rsidRPr="0063666A" w:rsidRDefault="0063666A" w:rsidP="000C530C">
      <w:pPr>
        <w:pStyle w:val="ListParagraph"/>
        <w:numPr>
          <w:ilvl w:val="0"/>
          <w:numId w:val="9"/>
        </w:numPr>
        <w:ind w:left="540" w:hanging="540"/>
        <w:rPr>
          <w:rFonts w:ascii="Arial" w:hAnsi="Arial" w:cs="Arial"/>
        </w:rPr>
      </w:pPr>
      <w:r w:rsidRPr="0063666A">
        <w:rPr>
          <w:rFonts w:ascii="Arial" w:hAnsi="Arial" w:cs="Arial"/>
        </w:rPr>
        <w:t>financial misfortune</w:t>
      </w:r>
    </w:p>
    <w:p w:rsidR="0063666A" w:rsidRPr="0063666A" w:rsidRDefault="0063666A" w:rsidP="000C530C">
      <w:pPr>
        <w:pStyle w:val="ListParagraph"/>
        <w:numPr>
          <w:ilvl w:val="0"/>
          <w:numId w:val="9"/>
        </w:numPr>
        <w:ind w:left="540" w:hanging="540"/>
        <w:rPr>
          <w:rFonts w:ascii="Arial" w:hAnsi="Arial" w:cs="Arial"/>
        </w:rPr>
      </w:pPr>
      <w:r w:rsidRPr="0063666A">
        <w:rPr>
          <w:rFonts w:ascii="Arial" w:hAnsi="Arial" w:cs="Arial"/>
        </w:rPr>
        <w:t>serious illness</w:t>
      </w:r>
    </w:p>
    <w:p w:rsidR="0063666A" w:rsidRDefault="0063666A" w:rsidP="000C530C">
      <w:pPr>
        <w:pStyle w:val="ListParagraph"/>
        <w:numPr>
          <w:ilvl w:val="0"/>
          <w:numId w:val="9"/>
        </w:numPr>
        <w:ind w:left="540" w:hanging="540"/>
        <w:rPr>
          <w:rFonts w:ascii="Arial" w:hAnsi="Arial" w:cs="Arial"/>
        </w:rPr>
      </w:pPr>
      <w:r w:rsidRPr="0063666A">
        <w:rPr>
          <w:rFonts w:ascii="Arial" w:hAnsi="Arial" w:cs="Arial"/>
        </w:rPr>
        <w:t>impacts of natural disaster</w:t>
      </w:r>
    </w:p>
    <w:p w:rsidR="0063666A" w:rsidRPr="0063666A" w:rsidRDefault="00E56DCB" w:rsidP="000C530C">
      <w:pPr>
        <w:pStyle w:val="ListParagraph"/>
        <w:numPr>
          <w:ilvl w:val="0"/>
          <w:numId w:val="9"/>
        </w:numPr>
        <w:ind w:left="540" w:hanging="540"/>
        <w:rPr>
          <w:rFonts w:ascii="Arial" w:hAnsi="Arial" w:cs="Arial"/>
        </w:rPr>
      </w:pPr>
      <w:r>
        <w:rPr>
          <w:rFonts w:ascii="Arial" w:hAnsi="Arial" w:cs="Arial"/>
        </w:rPr>
        <w:t>pandemics</w:t>
      </w:r>
    </w:p>
    <w:p w:rsidR="0063666A" w:rsidRDefault="0063666A" w:rsidP="000C530C">
      <w:pPr>
        <w:pStyle w:val="ListParagraph"/>
        <w:numPr>
          <w:ilvl w:val="0"/>
          <w:numId w:val="9"/>
        </w:numPr>
        <w:ind w:left="540" w:hanging="540"/>
        <w:rPr>
          <w:rFonts w:ascii="Arial" w:hAnsi="Arial" w:cs="Arial"/>
        </w:rPr>
      </w:pPr>
      <w:r w:rsidRPr="0063666A">
        <w:rPr>
          <w:rFonts w:ascii="Arial" w:hAnsi="Arial" w:cs="Arial"/>
        </w:rPr>
        <w:t>other serious or difficult circumstances.</w:t>
      </w:r>
    </w:p>
    <w:p w:rsidR="00572A67" w:rsidRDefault="00572A67" w:rsidP="00572A67">
      <w:pPr>
        <w:rPr>
          <w:rFonts w:ascii="Arial" w:hAnsi="Arial" w:cs="Arial"/>
        </w:rPr>
      </w:pPr>
    </w:p>
    <w:p w:rsidR="00572A67" w:rsidRPr="0041612B" w:rsidRDefault="00572A67" w:rsidP="00572A67">
      <w:pPr>
        <w:tabs>
          <w:tab w:val="left" w:pos="9026"/>
        </w:tabs>
        <w:spacing w:before="2"/>
        <w:ind w:right="-46"/>
        <w:rPr>
          <w:rFonts w:ascii="Arial" w:hAnsi="Arial" w:cs="Arial"/>
        </w:rPr>
      </w:pPr>
      <w:r w:rsidRPr="0041612B">
        <w:rPr>
          <w:rFonts w:ascii="Arial" w:hAnsi="Arial" w:cs="Arial"/>
        </w:rPr>
        <w:t>Payment difficulties, or short term financial hardship, occur where a change in a person’s circumstances result in an inability to pay a rates or service charge debt.</w:t>
      </w:r>
    </w:p>
    <w:p w:rsidR="00572A67" w:rsidRPr="0041612B" w:rsidRDefault="00572A67" w:rsidP="00572A67">
      <w:pPr>
        <w:tabs>
          <w:tab w:val="left" w:pos="9026"/>
        </w:tabs>
        <w:spacing w:before="2"/>
        <w:ind w:right="-46"/>
        <w:rPr>
          <w:rFonts w:ascii="Arial" w:hAnsi="Arial" w:cs="Arial"/>
        </w:rPr>
      </w:pPr>
    </w:p>
    <w:p w:rsidR="00572A67" w:rsidRPr="00044595" w:rsidRDefault="00572A67" w:rsidP="00572A67">
      <w:pPr>
        <w:tabs>
          <w:tab w:val="left" w:pos="9026"/>
        </w:tabs>
        <w:spacing w:before="2"/>
        <w:ind w:right="-46"/>
        <w:rPr>
          <w:rFonts w:ascii="Arial" w:hAnsi="Arial" w:cs="Arial"/>
        </w:rPr>
      </w:pPr>
      <w:r w:rsidRPr="0041612B">
        <w:rPr>
          <w:rFonts w:ascii="Arial" w:hAnsi="Arial" w:cs="Arial"/>
        </w:rPr>
        <w:t>Financial hardship occurs where a person is unable to pay rates and service charges without affecting their ability to meet their basic living needs, or the basic living needs of their dependants.</w:t>
      </w:r>
    </w:p>
    <w:p w:rsidR="00572A67" w:rsidRDefault="00572A67" w:rsidP="00572A67">
      <w:pPr>
        <w:rPr>
          <w:rFonts w:ascii="Arial" w:hAnsi="Arial" w:cs="Arial"/>
        </w:rPr>
      </w:pPr>
    </w:p>
    <w:p w:rsidR="0063666A" w:rsidRPr="000C530C" w:rsidRDefault="00BE2E7E" w:rsidP="0063666A">
      <w:pPr>
        <w:rPr>
          <w:rFonts w:ascii="Arial" w:hAnsi="Arial" w:cs="Arial"/>
          <w:u w:val="single"/>
        </w:rPr>
      </w:pPr>
      <w:r w:rsidRPr="000C530C">
        <w:rPr>
          <w:rFonts w:ascii="Arial" w:hAnsi="Arial" w:cs="Arial"/>
          <w:u w:val="single"/>
        </w:rPr>
        <w:t>Deferring</w:t>
      </w:r>
      <w:r w:rsidR="00572A67" w:rsidRPr="000C530C">
        <w:rPr>
          <w:rFonts w:ascii="Arial" w:hAnsi="Arial" w:cs="Arial"/>
          <w:u w:val="single"/>
        </w:rPr>
        <w:t xml:space="preserve"> Payment of Rates</w:t>
      </w:r>
    </w:p>
    <w:p w:rsidR="000C530C" w:rsidRDefault="000C530C" w:rsidP="0063666A">
      <w:pPr>
        <w:rPr>
          <w:rFonts w:ascii="Arial" w:hAnsi="Arial" w:cs="Arial"/>
        </w:rPr>
      </w:pPr>
    </w:p>
    <w:p w:rsidR="0063666A" w:rsidRPr="00E56DCB" w:rsidRDefault="000955AE" w:rsidP="0063666A">
      <w:pPr>
        <w:rPr>
          <w:rFonts w:ascii="Arial" w:hAnsi="Arial" w:cs="Arial"/>
        </w:rPr>
      </w:pPr>
      <w:r>
        <w:rPr>
          <w:rFonts w:ascii="Arial" w:hAnsi="Arial" w:cs="Arial"/>
        </w:rPr>
        <w:t>It i</w:t>
      </w:r>
      <w:r w:rsidR="0063666A" w:rsidRPr="00E56DCB">
        <w:rPr>
          <w:rFonts w:ascii="Arial" w:hAnsi="Arial" w:cs="Arial"/>
        </w:rPr>
        <w:t xml:space="preserve">s a postponement of </w:t>
      </w:r>
      <w:r w:rsidR="00BE2E7E">
        <w:rPr>
          <w:rFonts w:ascii="Arial" w:hAnsi="Arial" w:cs="Arial"/>
        </w:rPr>
        <w:t xml:space="preserve">the </w:t>
      </w:r>
      <w:r w:rsidR="0063666A" w:rsidRPr="00E56DCB">
        <w:rPr>
          <w:rFonts w:ascii="Arial" w:hAnsi="Arial" w:cs="Arial"/>
        </w:rPr>
        <w:t xml:space="preserve">payment of rates and charges in whole or in part for a specified period (maximum 12 months) </w:t>
      </w:r>
      <w:r w:rsidR="00AE7F70">
        <w:rPr>
          <w:rFonts w:ascii="Arial" w:hAnsi="Arial" w:cs="Arial"/>
        </w:rPr>
        <w:t xml:space="preserve">and subject to </w:t>
      </w:r>
      <w:r w:rsidR="0063666A" w:rsidRPr="00E56DCB">
        <w:rPr>
          <w:rFonts w:ascii="Arial" w:hAnsi="Arial" w:cs="Arial"/>
        </w:rPr>
        <w:t xml:space="preserve">conditions as determined by the City. When </w:t>
      </w:r>
      <w:r w:rsidR="00572A67">
        <w:rPr>
          <w:rFonts w:ascii="Arial" w:hAnsi="Arial" w:cs="Arial"/>
        </w:rPr>
        <w:lastRenderedPageBreak/>
        <w:t xml:space="preserve">the payment of </w:t>
      </w:r>
      <w:r w:rsidR="0063666A" w:rsidRPr="00E56DCB">
        <w:rPr>
          <w:rFonts w:ascii="Arial" w:hAnsi="Arial" w:cs="Arial"/>
        </w:rPr>
        <w:t xml:space="preserve">rates are </w:t>
      </w:r>
      <w:r w:rsidR="00BE2E7E">
        <w:rPr>
          <w:rFonts w:ascii="Arial" w:hAnsi="Arial" w:cs="Arial"/>
        </w:rPr>
        <w:t>deferred</w:t>
      </w:r>
      <w:r w:rsidR="0063666A" w:rsidRPr="00E56DCB">
        <w:rPr>
          <w:rFonts w:ascii="Arial" w:hAnsi="Arial" w:cs="Arial"/>
        </w:rPr>
        <w:t xml:space="preserve">, payment is not required until the agreed date as approved by the City, the ratepayer becomes deceased, the property is sold or there is a change in ratepayer. </w:t>
      </w:r>
      <w:r w:rsidR="00BE2E7E">
        <w:rPr>
          <w:rFonts w:ascii="Arial" w:hAnsi="Arial" w:cs="Arial"/>
        </w:rPr>
        <w:t xml:space="preserve">Deferred </w:t>
      </w:r>
      <w:r w:rsidR="0063666A" w:rsidRPr="00E56DCB">
        <w:rPr>
          <w:rFonts w:ascii="Arial" w:hAnsi="Arial" w:cs="Arial"/>
        </w:rPr>
        <w:t>rates are a charge on the property.</w:t>
      </w:r>
    </w:p>
    <w:p w:rsidR="0063666A" w:rsidRPr="00F94F2C" w:rsidRDefault="0063666A" w:rsidP="00151611">
      <w:pPr>
        <w:tabs>
          <w:tab w:val="left" w:pos="9026"/>
        </w:tabs>
        <w:spacing w:before="2"/>
        <w:ind w:right="-46"/>
        <w:rPr>
          <w:rFonts w:ascii="Arial" w:hAnsi="Arial" w:cs="Arial"/>
        </w:rPr>
      </w:pPr>
    </w:p>
    <w:p w:rsidR="00C92BC5" w:rsidRDefault="00C92BC5" w:rsidP="00656C9D">
      <w:pPr>
        <w:tabs>
          <w:tab w:val="left" w:pos="9026"/>
        </w:tabs>
        <w:spacing w:before="2"/>
        <w:ind w:right="-46"/>
      </w:pPr>
    </w:p>
    <w:p w:rsidR="00656C9D" w:rsidRPr="00F94F2C" w:rsidRDefault="00CE1297"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4BAE6C4A" wp14:editId="7D7D3ACE">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rsidR="00C92BC5" w:rsidRPr="000C530C" w:rsidRDefault="000C530C" w:rsidP="000C530C">
      <w:pPr>
        <w:tabs>
          <w:tab w:val="left" w:pos="720"/>
          <w:tab w:val="left" w:pos="9026"/>
        </w:tabs>
        <w:spacing w:before="2"/>
        <w:ind w:right="-46"/>
        <w:rPr>
          <w:rStyle w:val="Hyperlink"/>
          <w:rFonts w:cs="Arial"/>
          <w:bCs/>
        </w:rPr>
      </w:pPr>
      <w:bookmarkStart w:id="1" w:name="Bookmark2"/>
      <w:r w:rsidRPr="000C530C">
        <w:rPr>
          <w:rFonts w:ascii="Arial" w:hAnsi="Arial" w:cs="Arial"/>
        </w:rPr>
        <w:t>(1)</w:t>
      </w:r>
      <w:r w:rsidRPr="000C530C">
        <w:rPr>
          <w:rFonts w:ascii="Arial" w:hAnsi="Arial" w:cs="Arial"/>
        </w:rPr>
        <w:tab/>
      </w:r>
      <w:hyperlink w:anchor="Bookmark1" w:tooltip="This section should outline the background to the policy. For example, is it a legislative requirement? A Council directive? An audit requirement or some other reason? Is this a replacement for a previous policy?" w:history="1">
        <w:r w:rsidR="00C92BC5" w:rsidRPr="000C530C">
          <w:rPr>
            <w:rStyle w:val="Hyperlink"/>
            <w:rFonts w:cs="Arial"/>
            <w:bCs/>
          </w:rPr>
          <w:t>Objective</w:t>
        </w:r>
      </w:hyperlink>
      <w:r w:rsidR="00C92BC5" w:rsidRPr="000C530C">
        <w:rPr>
          <w:rStyle w:val="Hyperlink"/>
          <w:rFonts w:cs="Arial"/>
          <w:bCs/>
        </w:rPr>
        <w:t>s</w:t>
      </w:r>
    </w:p>
    <w:p w:rsidR="00C92BC5" w:rsidRDefault="00C92BC5" w:rsidP="00C92BC5">
      <w:pPr>
        <w:rPr>
          <w:rFonts w:ascii="Arial" w:hAnsi="Arial" w:cs="Arial"/>
        </w:rPr>
      </w:pPr>
    </w:p>
    <w:p w:rsidR="00C92BC5" w:rsidRDefault="00C92BC5" w:rsidP="000C530C">
      <w:pPr>
        <w:ind w:left="720"/>
        <w:rPr>
          <w:rFonts w:ascii="Arial" w:hAnsi="Arial" w:cs="Arial"/>
        </w:rPr>
      </w:pPr>
      <w:r w:rsidRPr="00321FE8">
        <w:rPr>
          <w:rFonts w:ascii="Arial" w:hAnsi="Arial" w:cs="Arial"/>
        </w:rPr>
        <w:t xml:space="preserve">This Policy is intended to ensure that we offer fair, equitable, consistent and dignified support to ratepayers suffering hardship, while treating all members of the community with respect and understanding </w:t>
      </w:r>
      <w:r>
        <w:rPr>
          <w:rFonts w:ascii="Arial" w:hAnsi="Arial" w:cs="Arial"/>
        </w:rPr>
        <w:t>at difficult times</w:t>
      </w:r>
      <w:r w:rsidRPr="00321FE8">
        <w:rPr>
          <w:rFonts w:ascii="Arial" w:hAnsi="Arial" w:cs="Arial"/>
        </w:rPr>
        <w:t>.</w:t>
      </w:r>
    </w:p>
    <w:p w:rsidR="00C92BC5" w:rsidRDefault="00C92BC5" w:rsidP="000C530C">
      <w:pPr>
        <w:ind w:left="720"/>
        <w:rPr>
          <w:rFonts w:ascii="Arial" w:hAnsi="Arial" w:cs="Arial"/>
        </w:rPr>
      </w:pPr>
    </w:p>
    <w:p w:rsidR="00C92BC5" w:rsidRPr="00321FE8" w:rsidRDefault="00C92BC5" w:rsidP="000C530C">
      <w:pPr>
        <w:ind w:left="720"/>
        <w:rPr>
          <w:rFonts w:ascii="Arial" w:hAnsi="Arial" w:cs="Arial"/>
        </w:rPr>
      </w:pPr>
      <w:r w:rsidRPr="00321FE8">
        <w:rPr>
          <w:rFonts w:ascii="Arial" w:hAnsi="Arial" w:cs="Arial"/>
        </w:rPr>
        <w:t>The key objectives of this policy are to:</w:t>
      </w:r>
    </w:p>
    <w:p w:rsidR="00C92BC5" w:rsidRPr="00321FE8" w:rsidRDefault="00C92BC5" w:rsidP="000C530C">
      <w:pPr>
        <w:pStyle w:val="ListParagraph"/>
        <w:ind w:left="1713"/>
        <w:rPr>
          <w:rFonts w:ascii="Arial" w:hAnsi="Arial" w:cs="Arial"/>
        </w:rPr>
      </w:pPr>
    </w:p>
    <w:p w:rsidR="00C92BC5" w:rsidRPr="00321FE8" w:rsidRDefault="00C92BC5" w:rsidP="00E40FE0">
      <w:pPr>
        <w:pStyle w:val="ListParagraph"/>
        <w:numPr>
          <w:ilvl w:val="0"/>
          <w:numId w:val="10"/>
        </w:numPr>
        <w:spacing w:after="120"/>
        <w:ind w:left="1080"/>
        <w:contextualSpacing w:val="0"/>
        <w:rPr>
          <w:rFonts w:ascii="Arial" w:hAnsi="Arial" w:cs="Arial"/>
        </w:rPr>
      </w:pPr>
      <w:r w:rsidRPr="00321FE8">
        <w:rPr>
          <w:rFonts w:ascii="Arial" w:hAnsi="Arial" w:cs="Arial"/>
        </w:rPr>
        <w:t>provide a mechanism that enables ratepayers to feel comfortable in approaching the City about outstanding debts;</w:t>
      </w:r>
    </w:p>
    <w:p w:rsidR="00C92BC5" w:rsidRPr="00321FE8" w:rsidRDefault="00C92BC5" w:rsidP="00E40FE0">
      <w:pPr>
        <w:pStyle w:val="ListParagraph"/>
        <w:numPr>
          <w:ilvl w:val="0"/>
          <w:numId w:val="10"/>
        </w:numPr>
        <w:spacing w:after="120"/>
        <w:ind w:left="1080"/>
        <w:contextualSpacing w:val="0"/>
        <w:rPr>
          <w:rFonts w:ascii="Arial" w:hAnsi="Arial" w:cs="Arial"/>
        </w:rPr>
      </w:pPr>
      <w:r w:rsidRPr="00321FE8">
        <w:rPr>
          <w:rFonts w:ascii="Arial" w:hAnsi="Arial" w:cs="Arial"/>
        </w:rPr>
        <w:t>reduce the number of vulnerable people being summonsed for unpaid rates and charges by the City;</w:t>
      </w:r>
    </w:p>
    <w:p w:rsidR="00C92BC5" w:rsidRPr="00321FE8" w:rsidRDefault="00C92BC5" w:rsidP="00E40FE0">
      <w:pPr>
        <w:pStyle w:val="ListParagraph"/>
        <w:numPr>
          <w:ilvl w:val="0"/>
          <w:numId w:val="10"/>
        </w:numPr>
        <w:spacing w:after="120"/>
        <w:ind w:left="1080"/>
        <w:contextualSpacing w:val="0"/>
        <w:rPr>
          <w:rFonts w:ascii="Arial" w:hAnsi="Arial" w:cs="Arial"/>
        </w:rPr>
      </w:pPr>
      <w:r w:rsidRPr="00321FE8">
        <w:rPr>
          <w:rFonts w:ascii="Arial" w:hAnsi="Arial" w:cs="Arial"/>
        </w:rPr>
        <w:t>provide a policy that encourages a consistent and proactive approach in identifying and assisting ratepayers who may be experiencing difficulty paying their rates due to personal or financial hardship, before the debt is referred to the undertaking of legal proceedings;</w:t>
      </w:r>
    </w:p>
    <w:p w:rsidR="00C92BC5" w:rsidRPr="00321FE8" w:rsidRDefault="00C92BC5" w:rsidP="00E40FE0">
      <w:pPr>
        <w:pStyle w:val="ListParagraph"/>
        <w:numPr>
          <w:ilvl w:val="0"/>
          <w:numId w:val="10"/>
        </w:numPr>
        <w:spacing w:after="120"/>
        <w:ind w:left="1080"/>
        <w:contextualSpacing w:val="0"/>
        <w:rPr>
          <w:rFonts w:ascii="Arial" w:hAnsi="Arial" w:cs="Arial"/>
        </w:rPr>
      </w:pPr>
      <w:r w:rsidRPr="00321FE8">
        <w:rPr>
          <w:rFonts w:ascii="Arial" w:hAnsi="Arial" w:cs="Arial"/>
        </w:rPr>
        <w:t>encourage people experiencing financial hardship, to access financial counselling support services earlier;</w:t>
      </w:r>
    </w:p>
    <w:p w:rsidR="00C92BC5" w:rsidRPr="00321FE8" w:rsidRDefault="00C92BC5" w:rsidP="00E40FE0">
      <w:pPr>
        <w:pStyle w:val="ListParagraph"/>
        <w:numPr>
          <w:ilvl w:val="0"/>
          <w:numId w:val="10"/>
        </w:numPr>
        <w:spacing w:after="120"/>
        <w:ind w:left="1080"/>
        <w:contextualSpacing w:val="0"/>
        <w:rPr>
          <w:rFonts w:ascii="Arial" w:hAnsi="Arial" w:cs="Arial"/>
        </w:rPr>
      </w:pPr>
      <w:r w:rsidRPr="00321FE8">
        <w:rPr>
          <w:rFonts w:ascii="Arial" w:hAnsi="Arial" w:cs="Arial"/>
        </w:rPr>
        <w:t>enable more appropriate ways for the City to seek payment of rates arrears other than through the legal means;</w:t>
      </w:r>
    </w:p>
    <w:p w:rsidR="00C92BC5" w:rsidRPr="00321FE8" w:rsidRDefault="00C92BC5" w:rsidP="00E40FE0">
      <w:pPr>
        <w:pStyle w:val="ListParagraph"/>
        <w:numPr>
          <w:ilvl w:val="0"/>
          <w:numId w:val="10"/>
        </w:numPr>
        <w:ind w:left="1080"/>
        <w:rPr>
          <w:rFonts w:ascii="Arial" w:hAnsi="Arial" w:cs="Arial"/>
        </w:rPr>
      </w:pPr>
      <w:r w:rsidRPr="00321FE8">
        <w:rPr>
          <w:rFonts w:ascii="Arial" w:hAnsi="Arial" w:cs="Arial"/>
        </w:rPr>
        <w:t>reduce court proceedings and associated court and legal costs being added to a ratepayers rate account;</w:t>
      </w:r>
    </w:p>
    <w:p w:rsidR="00C92BC5" w:rsidRPr="00C92BC5" w:rsidRDefault="00C92BC5" w:rsidP="000C530C">
      <w:pPr>
        <w:tabs>
          <w:tab w:val="left" w:pos="9026"/>
        </w:tabs>
        <w:spacing w:before="2"/>
        <w:ind w:right="-46"/>
        <w:rPr>
          <w:rFonts w:ascii="Arial" w:hAnsi="Arial" w:cs="Arial"/>
          <w:b/>
        </w:rPr>
      </w:pPr>
    </w:p>
    <w:p w:rsidR="00151611" w:rsidRPr="00C92BC5" w:rsidRDefault="00151611" w:rsidP="000C530C">
      <w:pPr>
        <w:pStyle w:val="ListParagraph"/>
        <w:tabs>
          <w:tab w:val="left" w:pos="9026"/>
        </w:tabs>
        <w:spacing w:before="2"/>
        <w:ind w:right="-46"/>
        <w:rPr>
          <w:rStyle w:val="Hyperlink"/>
          <w:b/>
          <w:bCs/>
        </w:rPr>
      </w:pPr>
    </w:p>
    <w:p w:rsidR="00C92BC5" w:rsidRPr="000C530C" w:rsidRDefault="000C530C" w:rsidP="000C530C">
      <w:pPr>
        <w:tabs>
          <w:tab w:val="left" w:pos="720"/>
          <w:tab w:val="left" w:pos="9026"/>
        </w:tabs>
        <w:spacing w:before="2"/>
        <w:ind w:right="-46"/>
        <w:rPr>
          <w:rStyle w:val="Hyperlink"/>
          <w:bCs/>
        </w:rPr>
      </w:pPr>
      <w:r>
        <w:rPr>
          <w:rStyle w:val="Hyperlink"/>
          <w:bCs/>
        </w:rPr>
        <w:t>(2)</w:t>
      </w:r>
      <w:r>
        <w:rPr>
          <w:rStyle w:val="Hyperlink"/>
          <w:bCs/>
        </w:rPr>
        <w:tab/>
      </w:r>
      <w:r w:rsidR="00FE2974" w:rsidRPr="000C530C">
        <w:rPr>
          <w:rStyle w:val="Hyperlink"/>
          <w:bCs/>
        </w:rPr>
        <w:t>Deferring the Payment</w:t>
      </w:r>
      <w:r w:rsidR="00C92BC5" w:rsidRPr="000C530C">
        <w:rPr>
          <w:rStyle w:val="Hyperlink"/>
          <w:bCs/>
        </w:rPr>
        <w:t xml:space="preserve"> of Rates and Charges </w:t>
      </w:r>
    </w:p>
    <w:p w:rsidR="00C92BC5" w:rsidRDefault="00C92BC5" w:rsidP="000C530C"/>
    <w:p w:rsidR="00C92BC5" w:rsidRPr="00C92BC5" w:rsidRDefault="00C92BC5" w:rsidP="000C530C">
      <w:pPr>
        <w:ind w:left="720"/>
        <w:rPr>
          <w:rFonts w:ascii="Arial" w:hAnsi="Arial" w:cs="Arial"/>
        </w:rPr>
      </w:pPr>
      <w:r w:rsidRPr="00C92BC5">
        <w:rPr>
          <w:rFonts w:ascii="Arial" w:hAnsi="Arial" w:cs="Arial"/>
        </w:rPr>
        <w:t xml:space="preserve">Ratepayers may have rates and charges or part thereof, deferred (although rates and charges will continue to be levied), subject to compliance with the following conditions: </w:t>
      </w:r>
    </w:p>
    <w:p w:rsidR="00C92BC5" w:rsidRPr="00C92BC5" w:rsidRDefault="00C92BC5" w:rsidP="000C530C">
      <w:pPr>
        <w:autoSpaceDE w:val="0"/>
        <w:autoSpaceDN w:val="0"/>
        <w:adjustRightInd w:val="0"/>
        <w:ind w:left="720"/>
        <w:rPr>
          <w:rFonts w:ascii="Arial" w:hAnsi="Arial" w:cs="Arial"/>
          <w:color w:val="000000"/>
        </w:rPr>
      </w:pPr>
    </w:p>
    <w:p w:rsidR="00C92BC5" w:rsidRPr="00C92BC5" w:rsidRDefault="00C92BC5" w:rsidP="000C530C">
      <w:pPr>
        <w:autoSpaceDE w:val="0"/>
        <w:autoSpaceDN w:val="0"/>
        <w:adjustRightInd w:val="0"/>
        <w:ind w:left="720"/>
        <w:rPr>
          <w:rFonts w:ascii="Arial" w:hAnsi="Arial" w:cs="Arial"/>
          <w:color w:val="000000"/>
        </w:rPr>
      </w:pPr>
      <w:r w:rsidRPr="00C92BC5">
        <w:rPr>
          <w:rFonts w:ascii="Arial" w:hAnsi="Arial" w:cs="Arial"/>
          <w:color w:val="000000"/>
        </w:rPr>
        <w:t xml:space="preserve">The ratepayer must be experiencing undue and unavoidable hardship; and </w:t>
      </w:r>
    </w:p>
    <w:p w:rsidR="00C92BC5" w:rsidRPr="00C92BC5" w:rsidRDefault="00C92BC5" w:rsidP="000C530C">
      <w:pPr>
        <w:ind w:left="720"/>
        <w:rPr>
          <w:rFonts w:ascii="Arial" w:hAnsi="Arial" w:cs="Arial"/>
        </w:rPr>
      </w:pPr>
    </w:p>
    <w:p w:rsidR="00C92BC5" w:rsidRPr="000C530C" w:rsidRDefault="00C92BC5" w:rsidP="000C530C">
      <w:pPr>
        <w:pStyle w:val="ListParagraph"/>
        <w:numPr>
          <w:ilvl w:val="0"/>
          <w:numId w:val="17"/>
        </w:numPr>
        <w:spacing w:after="120"/>
        <w:ind w:hanging="720"/>
        <w:contextualSpacing w:val="0"/>
        <w:rPr>
          <w:rFonts w:ascii="Arial" w:hAnsi="Arial" w:cs="Arial"/>
        </w:rPr>
      </w:pPr>
      <w:r w:rsidRPr="000C530C">
        <w:rPr>
          <w:rFonts w:ascii="Arial" w:hAnsi="Arial" w:cs="Arial"/>
        </w:rPr>
        <w:t xml:space="preserve">the property is the ratepayer’s principal place of residence; </w:t>
      </w:r>
    </w:p>
    <w:p w:rsidR="00C92BC5" w:rsidRPr="000C530C" w:rsidRDefault="00C92BC5" w:rsidP="000C530C">
      <w:pPr>
        <w:pStyle w:val="ListParagraph"/>
        <w:numPr>
          <w:ilvl w:val="0"/>
          <w:numId w:val="17"/>
        </w:numPr>
        <w:spacing w:after="120"/>
        <w:ind w:hanging="720"/>
        <w:contextualSpacing w:val="0"/>
        <w:rPr>
          <w:rFonts w:ascii="Arial" w:hAnsi="Arial" w:cs="Arial"/>
        </w:rPr>
      </w:pPr>
      <w:r w:rsidRPr="000C530C">
        <w:rPr>
          <w:rFonts w:ascii="Arial" w:hAnsi="Arial" w:cs="Arial"/>
        </w:rPr>
        <w:t>the ratepayer is either a pensioner or senior who is eligible to claim a rate rebate</w:t>
      </w:r>
      <w:r w:rsidR="00BE2E7E" w:rsidRPr="000C530C">
        <w:rPr>
          <w:rFonts w:ascii="Arial" w:hAnsi="Arial" w:cs="Arial"/>
        </w:rPr>
        <w:t xml:space="preserve"> however unable to defer </w:t>
      </w:r>
      <w:r w:rsidR="000F4132" w:rsidRPr="000C530C">
        <w:rPr>
          <w:rFonts w:ascii="Arial" w:hAnsi="Arial" w:cs="Arial"/>
        </w:rPr>
        <w:t xml:space="preserve">their rates </w:t>
      </w:r>
      <w:r w:rsidR="00BE2E7E" w:rsidRPr="000C530C">
        <w:rPr>
          <w:rFonts w:ascii="Arial" w:hAnsi="Arial" w:cs="Arial"/>
        </w:rPr>
        <w:t>under</w:t>
      </w:r>
      <w:r w:rsidR="000F4132" w:rsidRPr="000C530C">
        <w:rPr>
          <w:rFonts w:ascii="Arial" w:hAnsi="Arial" w:cs="Arial"/>
        </w:rPr>
        <w:t xml:space="preserve"> the</w:t>
      </w:r>
      <w:r w:rsidR="00BE2E7E" w:rsidRPr="000C530C">
        <w:rPr>
          <w:rFonts w:ascii="Arial" w:hAnsi="Arial" w:cs="Arial"/>
        </w:rPr>
        <w:t xml:space="preserve"> </w:t>
      </w:r>
      <w:r w:rsidR="00BE2E7E" w:rsidRPr="000C530C">
        <w:rPr>
          <w:rFonts w:ascii="Arial" w:hAnsi="Arial" w:cs="Arial"/>
          <w:i/>
        </w:rPr>
        <w:t>Rates and Charges (Rebates and Deferments) Act 1992</w:t>
      </w:r>
      <w:r w:rsidR="00BE2E7E" w:rsidRPr="000C530C">
        <w:rPr>
          <w:rFonts w:ascii="Arial" w:hAnsi="Arial" w:cs="Arial"/>
        </w:rPr>
        <w:t>,</w:t>
      </w:r>
      <w:r w:rsidRPr="000C530C">
        <w:rPr>
          <w:rFonts w:ascii="Arial" w:hAnsi="Arial" w:cs="Arial"/>
        </w:rPr>
        <w:t xml:space="preserve"> or is unemployed for a minimum period of three months; or </w:t>
      </w:r>
    </w:p>
    <w:p w:rsidR="00C92BC5" w:rsidRPr="000C530C" w:rsidRDefault="00C92BC5" w:rsidP="000C530C">
      <w:pPr>
        <w:pStyle w:val="ListParagraph"/>
        <w:numPr>
          <w:ilvl w:val="0"/>
          <w:numId w:val="17"/>
        </w:numPr>
        <w:spacing w:after="120"/>
        <w:ind w:hanging="720"/>
        <w:contextualSpacing w:val="0"/>
        <w:rPr>
          <w:rFonts w:ascii="Arial" w:hAnsi="Arial" w:cs="Arial"/>
        </w:rPr>
      </w:pPr>
      <w:r w:rsidRPr="000C530C">
        <w:rPr>
          <w:rFonts w:ascii="Arial" w:hAnsi="Arial" w:cs="Arial"/>
        </w:rPr>
        <w:t>the ratepayer is able to evidence severe financial hardship as certified by an assessment carried out by a City nominated/approved Financial Counselling Service or the ratepayer’s accountant, auditor or bank manager;</w:t>
      </w:r>
    </w:p>
    <w:p w:rsidR="003A46A9" w:rsidRPr="000C530C" w:rsidRDefault="003A46A9" w:rsidP="000C530C">
      <w:pPr>
        <w:pStyle w:val="ListParagraph"/>
        <w:numPr>
          <w:ilvl w:val="0"/>
          <w:numId w:val="17"/>
        </w:numPr>
        <w:spacing w:after="120"/>
        <w:ind w:hanging="720"/>
        <w:contextualSpacing w:val="0"/>
        <w:rPr>
          <w:rFonts w:ascii="Arial" w:hAnsi="Arial" w:cs="Arial"/>
        </w:rPr>
      </w:pPr>
      <w:r w:rsidRPr="000C530C">
        <w:rPr>
          <w:rFonts w:ascii="Arial" w:hAnsi="Arial" w:cs="Arial"/>
        </w:rPr>
        <w:lastRenderedPageBreak/>
        <w:t xml:space="preserve">the ratepayer is able to provide other substantive evidence of the hardship they are enduring such as a letter from a doctor; </w:t>
      </w:r>
    </w:p>
    <w:p w:rsidR="00C92BC5" w:rsidRDefault="00C92BC5" w:rsidP="000C530C">
      <w:pPr>
        <w:pStyle w:val="ListParagraph"/>
        <w:numPr>
          <w:ilvl w:val="0"/>
          <w:numId w:val="17"/>
        </w:numPr>
        <w:ind w:hanging="720"/>
        <w:rPr>
          <w:rFonts w:ascii="Arial" w:hAnsi="Arial" w:cs="Arial"/>
        </w:rPr>
      </w:pPr>
      <w:r w:rsidRPr="00C92BC5">
        <w:rPr>
          <w:rFonts w:ascii="Arial" w:hAnsi="Arial" w:cs="Arial"/>
        </w:rPr>
        <w:t xml:space="preserve">an application is submitted to the City by the ratepayer or the ratepayer’s representative providing evidence of such circumstances referred to in a) to </w:t>
      </w:r>
      <w:r w:rsidR="003A46A9">
        <w:rPr>
          <w:rFonts w:ascii="Arial" w:hAnsi="Arial" w:cs="Arial"/>
        </w:rPr>
        <w:t>d</w:t>
      </w:r>
      <w:r w:rsidRPr="00C92BC5">
        <w:rPr>
          <w:rFonts w:ascii="Arial" w:hAnsi="Arial" w:cs="Arial"/>
        </w:rPr>
        <w:t xml:space="preserve">) above, with a written commitment from the ratepayer to an agreed timeframe in which the deferred rates will be paid. </w:t>
      </w:r>
    </w:p>
    <w:p w:rsidR="00AE7F70" w:rsidRPr="00AE7F70" w:rsidRDefault="00AE7F70" w:rsidP="000C530C">
      <w:pPr>
        <w:pStyle w:val="ListParagraph"/>
        <w:rPr>
          <w:rFonts w:ascii="Arial" w:hAnsi="Arial" w:cs="Arial"/>
        </w:rPr>
      </w:pPr>
    </w:p>
    <w:p w:rsidR="00C92BC5" w:rsidRPr="0039710B" w:rsidRDefault="00C92BC5" w:rsidP="000C530C">
      <w:pPr>
        <w:pStyle w:val="Default"/>
        <w:ind w:left="720"/>
        <w:rPr>
          <w:rFonts w:ascii="Arial" w:hAnsi="Arial" w:cs="Times New Roman"/>
          <w:color w:val="auto"/>
          <w:szCs w:val="20"/>
          <w:lang w:eastAsia="en-US"/>
        </w:rPr>
      </w:pPr>
      <w:r w:rsidRPr="00203D72">
        <w:rPr>
          <w:rFonts w:ascii="Arial" w:hAnsi="Arial" w:cs="Times New Roman"/>
          <w:color w:val="auto"/>
          <w:szCs w:val="20"/>
          <w:lang w:eastAsia="en-US"/>
        </w:rPr>
        <w:t xml:space="preserve">Applications for rate and charges deferral for ratepayers will be </w:t>
      </w:r>
      <w:r w:rsidR="00857163" w:rsidRPr="00203D72">
        <w:rPr>
          <w:rFonts w:ascii="Arial" w:hAnsi="Arial" w:cs="Times New Roman"/>
          <w:color w:val="auto"/>
          <w:szCs w:val="20"/>
          <w:lang w:eastAsia="en-US"/>
        </w:rPr>
        <w:t>approved</w:t>
      </w:r>
      <w:r w:rsidRPr="00203D72">
        <w:rPr>
          <w:rFonts w:ascii="Arial" w:hAnsi="Arial" w:cs="Times New Roman"/>
          <w:color w:val="auto"/>
          <w:szCs w:val="20"/>
          <w:lang w:eastAsia="en-US"/>
        </w:rPr>
        <w:t xml:space="preserve"> by the Rates and Revenue Manager.</w:t>
      </w:r>
    </w:p>
    <w:p w:rsidR="00C92BC5" w:rsidRDefault="00C92BC5" w:rsidP="000C530C">
      <w:pPr>
        <w:pStyle w:val="Default"/>
        <w:ind w:left="720"/>
        <w:rPr>
          <w:rFonts w:ascii="Arial" w:hAnsi="Arial" w:cs="Times New Roman"/>
          <w:color w:val="auto"/>
          <w:szCs w:val="20"/>
          <w:lang w:eastAsia="en-US"/>
        </w:rPr>
      </w:pPr>
    </w:p>
    <w:p w:rsidR="00C92BC5" w:rsidRPr="00C92BC5" w:rsidRDefault="00C92BC5" w:rsidP="000C530C">
      <w:pPr>
        <w:ind w:left="720"/>
        <w:rPr>
          <w:rFonts w:ascii="Arial" w:hAnsi="Arial" w:cs="Arial"/>
        </w:rPr>
      </w:pPr>
      <w:r w:rsidRPr="00C92BC5">
        <w:rPr>
          <w:rFonts w:ascii="Arial" w:hAnsi="Arial" w:cs="Arial"/>
        </w:rPr>
        <w:t>In the case of a deferral, if approved, the balance of rates owing will be deferred for a maximum period of 12 months. On or before the expiry of the approved deferral period, a review will be carried out with the ratepayer to determine the ratepayer’s circumstances. Ratepayers will be required to re-submit an application after the expiry of the agreed deferral timeframe to qualify to enter into a payment arrangement that is affordable given their individual circumstances.</w:t>
      </w:r>
    </w:p>
    <w:p w:rsidR="00C92BC5" w:rsidRPr="00C92BC5" w:rsidRDefault="00C92BC5" w:rsidP="000C530C">
      <w:pPr>
        <w:ind w:left="720"/>
        <w:rPr>
          <w:rFonts w:ascii="Arial" w:hAnsi="Arial" w:cs="Arial"/>
        </w:rPr>
      </w:pPr>
    </w:p>
    <w:p w:rsidR="00C92BC5" w:rsidRPr="00C92BC5" w:rsidRDefault="00C92BC5" w:rsidP="000C530C">
      <w:pPr>
        <w:ind w:left="720"/>
        <w:rPr>
          <w:rFonts w:ascii="Arial" w:hAnsi="Arial" w:cs="Arial"/>
        </w:rPr>
      </w:pPr>
      <w:r w:rsidRPr="00C92BC5">
        <w:rPr>
          <w:rFonts w:ascii="Arial" w:hAnsi="Arial" w:cs="Arial"/>
        </w:rPr>
        <w:t>In all applications for rates and charges deferrals, the applicant will still be encouraged to continue to pay the portion of rates and charges that is affordable given their individual circumstances. This will be mutually agreed on a case-by-case basis.</w:t>
      </w:r>
    </w:p>
    <w:p w:rsidR="00C92BC5" w:rsidRDefault="00C92BC5" w:rsidP="000C530C">
      <w:pPr>
        <w:pStyle w:val="Default"/>
        <w:ind w:left="720"/>
        <w:rPr>
          <w:rFonts w:ascii="Arial" w:hAnsi="Arial" w:cs="Times New Roman"/>
          <w:color w:val="auto"/>
          <w:szCs w:val="20"/>
          <w:lang w:eastAsia="en-US"/>
        </w:rPr>
      </w:pPr>
    </w:p>
    <w:p w:rsidR="00C92BC5" w:rsidRDefault="00C92BC5" w:rsidP="000C530C">
      <w:pPr>
        <w:pStyle w:val="Default"/>
        <w:ind w:left="720"/>
        <w:rPr>
          <w:rFonts w:ascii="Arial" w:hAnsi="Arial" w:cs="Times New Roman"/>
          <w:color w:val="auto"/>
          <w:szCs w:val="20"/>
          <w:lang w:eastAsia="en-US"/>
        </w:rPr>
      </w:pPr>
      <w:r>
        <w:rPr>
          <w:rFonts w:ascii="Arial" w:hAnsi="Arial" w:cs="Times New Roman"/>
          <w:color w:val="auto"/>
          <w:szCs w:val="20"/>
          <w:lang w:eastAsia="en-US"/>
        </w:rPr>
        <w:t>Deferral arrangements still attract penalty interest on outstanding balances</w:t>
      </w:r>
      <w:r w:rsidR="00BE2E7E">
        <w:rPr>
          <w:rFonts w:ascii="Arial" w:hAnsi="Arial" w:cs="Times New Roman"/>
          <w:color w:val="auto"/>
          <w:szCs w:val="20"/>
          <w:lang w:eastAsia="en-US"/>
        </w:rPr>
        <w:t xml:space="preserve"> (eligible </w:t>
      </w:r>
      <w:r w:rsidR="00044595">
        <w:rPr>
          <w:rFonts w:ascii="Arial" w:hAnsi="Arial" w:cs="Times New Roman"/>
          <w:color w:val="auto"/>
          <w:szCs w:val="20"/>
          <w:lang w:eastAsia="en-US"/>
        </w:rPr>
        <w:t>Pensioners/S</w:t>
      </w:r>
      <w:r w:rsidR="00BE2E7E">
        <w:rPr>
          <w:rFonts w:ascii="Arial" w:hAnsi="Arial" w:cs="Times New Roman"/>
          <w:color w:val="auto"/>
          <w:szCs w:val="20"/>
          <w:lang w:eastAsia="en-US"/>
        </w:rPr>
        <w:t>eniors excluded)</w:t>
      </w:r>
      <w:r>
        <w:rPr>
          <w:rFonts w:ascii="Arial" w:hAnsi="Arial" w:cs="Times New Roman"/>
          <w:color w:val="auto"/>
          <w:szCs w:val="20"/>
          <w:lang w:eastAsia="en-US"/>
        </w:rPr>
        <w:t>.</w:t>
      </w:r>
    </w:p>
    <w:p w:rsidR="00C92BC5" w:rsidRDefault="00C92BC5" w:rsidP="000C530C">
      <w:pPr>
        <w:ind w:left="720"/>
      </w:pPr>
    </w:p>
    <w:p w:rsidR="00C92BC5" w:rsidRDefault="00C92BC5" w:rsidP="000C530C">
      <w:pPr>
        <w:ind w:left="720"/>
        <w:rPr>
          <w:rFonts w:ascii="Arial" w:hAnsi="Arial" w:cs="Arial"/>
        </w:rPr>
      </w:pPr>
      <w:r w:rsidRPr="00C92BC5">
        <w:rPr>
          <w:rFonts w:ascii="Arial" w:hAnsi="Arial" w:cs="Arial"/>
        </w:rPr>
        <w:t>Legal action may commence without further notice if the deferral agreement is not complied with.</w:t>
      </w:r>
    </w:p>
    <w:p w:rsidR="00203D72" w:rsidRDefault="00203D72" w:rsidP="000C530C">
      <w:pPr>
        <w:rPr>
          <w:rFonts w:ascii="Arial" w:hAnsi="Arial" w:cs="Arial"/>
        </w:rPr>
      </w:pPr>
    </w:p>
    <w:p w:rsidR="00203D72" w:rsidRPr="000C530C" w:rsidRDefault="000C530C" w:rsidP="000C530C">
      <w:pPr>
        <w:tabs>
          <w:tab w:val="left" w:pos="720"/>
          <w:tab w:val="left" w:pos="9026"/>
        </w:tabs>
        <w:spacing w:before="2"/>
        <w:ind w:right="-46"/>
        <w:rPr>
          <w:rStyle w:val="Hyperlink"/>
          <w:rFonts w:cs="Arial"/>
          <w:bCs/>
        </w:rPr>
      </w:pPr>
      <w:r>
        <w:rPr>
          <w:rStyle w:val="Hyperlink"/>
          <w:rFonts w:cs="Arial"/>
          <w:bCs/>
        </w:rPr>
        <w:t>(3)</w:t>
      </w:r>
      <w:r>
        <w:rPr>
          <w:rStyle w:val="Hyperlink"/>
          <w:rFonts w:cs="Arial"/>
          <w:bCs/>
        </w:rPr>
        <w:tab/>
      </w:r>
      <w:r w:rsidR="00FE2974" w:rsidRPr="000C530C">
        <w:rPr>
          <w:rStyle w:val="Hyperlink"/>
          <w:rFonts w:cs="Arial"/>
          <w:bCs/>
        </w:rPr>
        <w:t xml:space="preserve">Deferring the Payment </w:t>
      </w:r>
      <w:r w:rsidR="00203D72" w:rsidRPr="000C530C">
        <w:rPr>
          <w:rStyle w:val="Hyperlink"/>
          <w:rFonts w:cs="Arial"/>
          <w:bCs/>
        </w:rPr>
        <w:t xml:space="preserve">of Rates and Charges </w:t>
      </w:r>
      <w:r w:rsidR="003C2C08" w:rsidRPr="000C530C">
        <w:rPr>
          <w:rStyle w:val="Hyperlink"/>
          <w:rFonts w:cs="Arial"/>
          <w:bCs/>
        </w:rPr>
        <w:t xml:space="preserve">- </w:t>
      </w:r>
      <w:r w:rsidR="00203D72" w:rsidRPr="000C530C">
        <w:rPr>
          <w:rStyle w:val="Hyperlink"/>
          <w:rFonts w:cs="Arial"/>
          <w:bCs/>
        </w:rPr>
        <w:t>Emergency Situations</w:t>
      </w:r>
    </w:p>
    <w:p w:rsidR="00203D72" w:rsidRDefault="00203D72" w:rsidP="000C530C">
      <w:pPr>
        <w:ind w:left="720"/>
        <w:rPr>
          <w:rFonts w:ascii="Arial" w:hAnsi="Arial" w:cs="Arial"/>
        </w:rPr>
      </w:pPr>
    </w:p>
    <w:p w:rsidR="00203D72" w:rsidRPr="0041612B" w:rsidRDefault="000955AE" w:rsidP="000C530C">
      <w:pPr>
        <w:ind w:left="720"/>
        <w:rPr>
          <w:rFonts w:ascii="Arial" w:hAnsi="Arial" w:cs="Arial"/>
        </w:rPr>
      </w:pPr>
      <w:r w:rsidRPr="0041612B">
        <w:rPr>
          <w:rFonts w:ascii="Arial" w:hAnsi="Arial" w:cs="Arial"/>
        </w:rPr>
        <w:t>In the case</w:t>
      </w:r>
      <w:r w:rsidR="00203D72" w:rsidRPr="0041612B">
        <w:rPr>
          <w:rFonts w:ascii="Arial" w:hAnsi="Arial" w:cs="Arial"/>
        </w:rPr>
        <w:t xml:space="preserve"> of an emergency situation such as a pandemic </w:t>
      </w:r>
      <w:r w:rsidR="00DA71EF" w:rsidRPr="0041612B">
        <w:rPr>
          <w:rFonts w:ascii="Arial" w:hAnsi="Arial" w:cs="Arial"/>
        </w:rPr>
        <w:t xml:space="preserve">or natural disaster </w:t>
      </w:r>
      <w:r w:rsidR="00203D72" w:rsidRPr="0041612B">
        <w:rPr>
          <w:rFonts w:ascii="Arial" w:hAnsi="Arial" w:cs="Arial"/>
        </w:rPr>
        <w:t xml:space="preserve">which causes hardship to </w:t>
      </w:r>
      <w:r w:rsidR="00FE2974" w:rsidRPr="0041612B">
        <w:rPr>
          <w:rFonts w:ascii="Arial" w:hAnsi="Arial" w:cs="Arial"/>
        </w:rPr>
        <w:t>a significant section of the community</w:t>
      </w:r>
      <w:r w:rsidR="00203D72" w:rsidRPr="0041612B">
        <w:rPr>
          <w:rFonts w:ascii="Arial" w:hAnsi="Arial" w:cs="Arial"/>
        </w:rPr>
        <w:t>, the deferral of rates and charges is accessible to all ratepayers experiencing financial hardship regardless of their status, be they a property owner, tenant, business owner etc.</w:t>
      </w:r>
    </w:p>
    <w:p w:rsidR="00203D72" w:rsidRPr="0041612B" w:rsidRDefault="00203D72" w:rsidP="000C530C">
      <w:pPr>
        <w:ind w:left="720"/>
        <w:rPr>
          <w:rFonts w:ascii="Arial" w:hAnsi="Arial" w:cs="Arial"/>
        </w:rPr>
      </w:pPr>
    </w:p>
    <w:p w:rsidR="00203D72" w:rsidRDefault="003C2C08" w:rsidP="000C530C">
      <w:pPr>
        <w:ind w:left="720"/>
        <w:rPr>
          <w:rFonts w:ascii="Arial" w:hAnsi="Arial" w:cs="Arial"/>
        </w:rPr>
      </w:pPr>
      <w:r w:rsidRPr="0041612B">
        <w:rPr>
          <w:rFonts w:ascii="Arial" w:hAnsi="Arial" w:cs="Arial"/>
        </w:rPr>
        <w:t xml:space="preserve">Ratepayers are encouraged to provide written information about their individual circumstances that may be relevant for assessment. This may include demonstrating a capacity to make some payment and where possible, entering into a payment </w:t>
      </w:r>
      <w:r w:rsidR="00BE2E7E" w:rsidRPr="0041612B">
        <w:rPr>
          <w:rFonts w:ascii="Arial" w:hAnsi="Arial" w:cs="Arial"/>
        </w:rPr>
        <w:t>arrangement</w:t>
      </w:r>
      <w:r w:rsidRPr="0041612B">
        <w:rPr>
          <w:rFonts w:ascii="Arial" w:hAnsi="Arial" w:cs="Arial"/>
        </w:rPr>
        <w:t xml:space="preserve">. All </w:t>
      </w:r>
      <w:r w:rsidR="00E70772" w:rsidRPr="0041612B">
        <w:rPr>
          <w:rFonts w:ascii="Arial" w:hAnsi="Arial" w:cs="Arial"/>
        </w:rPr>
        <w:t>circumstances</w:t>
      </w:r>
      <w:r w:rsidRPr="0041612B">
        <w:rPr>
          <w:rFonts w:ascii="Arial" w:hAnsi="Arial" w:cs="Arial"/>
        </w:rPr>
        <w:t xml:space="preserve"> will be considered applying the principles of fairness, integrity and conf</w:t>
      </w:r>
      <w:r w:rsidR="00DA71EF" w:rsidRPr="0041612B">
        <w:rPr>
          <w:rFonts w:ascii="Arial" w:hAnsi="Arial" w:cs="Arial"/>
        </w:rPr>
        <w:t>identiality whilst complying with</w:t>
      </w:r>
      <w:r w:rsidRPr="0041612B">
        <w:rPr>
          <w:rFonts w:ascii="Arial" w:hAnsi="Arial" w:cs="Arial"/>
        </w:rPr>
        <w:t xml:space="preserve"> statutory responsibilities.</w:t>
      </w:r>
    </w:p>
    <w:p w:rsidR="003C2C08" w:rsidRDefault="003C2C08" w:rsidP="000C530C">
      <w:pPr>
        <w:ind w:left="720"/>
        <w:jc w:val="both"/>
        <w:rPr>
          <w:rFonts w:ascii="Arial" w:hAnsi="Arial" w:cs="Arial"/>
        </w:rPr>
      </w:pPr>
    </w:p>
    <w:p w:rsidR="003C2C08" w:rsidRDefault="003C2C08" w:rsidP="000C530C">
      <w:pPr>
        <w:ind w:left="720"/>
        <w:jc w:val="both"/>
        <w:rPr>
          <w:rFonts w:ascii="Arial" w:hAnsi="Arial" w:cs="Arial"/>
        </w:rPr>
      </w:pPr>
      <w:r>
        <w:rPr>
          <w:rFonts w:ascii="Arial" w:hAnsi="Arial" w:cs="Arial"/>
        </w:rPr>
        <w:t xml:space="preserve">Ratepayers </w:t>
      </w:r>
      <w:r w:rsidR="00DA71EF">
        <w:rPr>
          <w:rFonts w:ascii="Arial" w:hAnsi="Arial" w:cs="Arial"/>
        </w:rPr>
        <w:t xml:space="preserve">affected by emergency situations </w:t>
      </w:r>
      <w:r>
        <w:rPr>
          <w:rFonts w:ascii="Arial" w:hAnsi="Arial" w:cs="Arial"/>
        </w:rPr>
        <w:t>are not required to provide written evi</w:t>
      </w:r>
      <w:r w:rsidRPr="003C2C08">
        <w:rPr>
          <w:rFonts w:ascii="Arial" w:hAnsi="Arial" w:cs="Arial"/>
        </w:rPr>
        <w:t xml:space="preserve">dence </w:t>
      </w:r>
      <w:r w:rsidR="00DA71EF">
        <w:rPr>
          <w:rFonts w:ascii="Arial" w:hAnsi="Arial" w:cs="Arial"/>
        </w:rPr>
        <w:t xml:space="preserve">by an </w:t>
      </w:r>
      <w:r w:rsidRPr="003C2C08">
        <w:rPr>
          <w:rFonts w:ascii="Arial" w:hAnsi="Arial" w:cs="Arial"/>
        </w:rPr>
        <w:t>approved Financial Counselling Service or the ratepayer’s acco</w:t>
      </w:r>
      <w:r>
        <w:rPr>
          <w:rFonts w:ascii="Arial" w:hAnsi="Arial" w:cs="Arial"/>
        </w:rPr>
        <w:t>untant, auditor or bank manager.</w:t>
      </w:r>
    </w:p>
    <w:p w:rsidR="00DA71EF" w:rsidRDefault="00DA71EF" w:rsidP="000C530C">
      <w:pPr>
        <w:ind w:left="720"/>
        <w:jc w:val="both"/>
        <w:rPr>
          <w:rFonts w:ascii="Arial" w:hAnsi="Arial" w:cs="Arial"/>
        </w:rPr>
      </w:pPr>
    </w:p>
    <w:p w:rsidR="00DA71EF" w:rsidRDefault="00DA71EF" w:rsidP="000C530C">
      <w:pPr>
        <w:ind w:left="720"/>
        <w:jc w:val="both"/>
        <w:rPr>
          <w:rFonts w:ascii="Arial" w:hAnsi="Arial" w:cs="Arial"/>
        </w:rPr>
      </w:pPr>
      <w:r>
        <w:rPr>
          <w:rFonts w:ascii="Arial" w:hAnsi="Arial" w:cs="Arial"/>
        </w:rPr>
        <w:t xml:space="preserve">Payment deferrals for ratepayers in this category will initially be provided with the ability </w:t>
      </w:r>
      <w:r w:rsidR="002F07BB">
        <w:rPr>
          <w:rFonts w:ascii="Arial" w:hAnsi="Arial" w:cs="Arial"/>
        </w:rPr>
        <w:t xml:space="preserve">to defer the payment of </w:t>
      </w:r>
      <w:r>
        <w:rPr>
          <w:rFonts w:ascii="Arial" w:hAnsi="Arial" w:cs="Arial"/>
        </w:rPr>
        <w:t xml:space="preserve">rates for a maximum of 3 months. The City reserves the right to extend </w:t>
      </w:r>
      <w:r w:rsidR="00433746">
        <w:rPr>
          <w:rFonts w:ascii="Arial" w:hAnsi="Arial" w:cs="Arial"/>
        </w:rPr>
        <w:t>the timeframe for deferral depending on the situation.</w:t>
      </w:r>
    </w:p>
    <w:p w:rsidR="002F07BB" w:rsidRDefault="002F07BB" w:rsidP="003C2C08">
      <w:pPr>
        <w:jc w:val="both"/>
        <w:rPr>
          <w:rFonts w:ascii="Arial" w:hAnsi="Arial" w:cs="Arial"/>
        </w:rPr>
      </w:pPr>
    </w:p>
    <w:p w:rsidR="002F07BB" w:rsidRDefault="002F07BB" w:rsidP="00A74133">
      <w:pPr>
        <w:ind w:left="720"/>
        <w:jc w:val="both"/>
        <w:rPr>
          <w:rFonts w:ascii="Arial" w:hAnsi="Arial"/>
          <w:szCs w:val="20"/>
          <w:lang w:eastAsia="en-US"/>
        </w:rPr>
      </w:pPr>
      <w:r w:rsidRPr="00A74133">
        <w:rPr>
          <w:rFonts w:ascii="Arial" w:hAnsi="Arial" w:cs="Arial"/>
        </w:rPr>
        <w:t>Deferral</w:t>
      </w:r>
      <w:r>
        <w:rPr>
          <w:rFonts w:ascii="Arial" w:hAnsi="Arial"/>
          <w:szCs w:val="20"/>
          <w:lang w:eastAsia="en-US"/>
        </w:rPr>
        <w:t xml:space="preserve"> arrangements will still attract penalty interest on outstanding balances unless a decision to waive interest is made </w:t>
      </w:r>
      <w:r w:rsidR="00E70772">
        <w:rPr>
          <w:rFonts w:ascii="Arial" w:hAnsi="Arial"/>
          <w:szCs w:val="20"/>
          <w:lang w:eastAsia="en-US"/>
        </w:rPr>
        <w:t>by Council</w:t>
      </w:r>
      <w:r>
        <w:rPr>
          <w:rFonts w:ascii="Arial" w:hAnsi="Arial"/>
          <w:szCs w:val="20"/>
          <w:lang w:eastAsia="en-US"/>
        </w:rPr>
        <w:t>.</w:t>
      </w:r>
    </w:p>
    <w:p w:rsidR="00E70772" w:rsidRDefault="00E70772" w:rsidP="003C2C08">
      <w:pPr>
        <w:jc w:val="both"/>
        <w:rPr>
          <w:rFonts w:ascii="Arial" w:hAnsi="Arial" w:cs="Arial"/>
        </w:rPr>
      </w:pPr>
    </w:p>
    <w:p w:rsidR="00C92BC5" w:rsidRPr="00A74133" w:rsidRDefault="00A74133" w:rsidP="00A74133">
      <w:pPr>
        <w:tabs>
          <w:tab w:val="left" w:pos="720"/>
          <w:tab w:val="left" w:pos="9026"/>
        </w:tabs>
        <w:spacing w:before="2"/>
        <w:ind w:right="-46"/>
        <w:rPr>
          <w:rStyle w:val="Hyperlink"/>
          <w:rFonts w:cs="Arial"/>
          <w:bCs/>
        </w:rPr>
      </w:pPr>
      <w:r>
        <w:rPr>
          <w:rStyle w:val="Hyperlink"/>
          <w:rFonts w:cs="Arial"/>
          <w:bCs/>
        </w:rPr>
        <w:t>(4)</w:t>
      </w:r>
      <w:r>
        <w:rPr>
          <w:rStyle w:val="Hyperlink"/>
          <w:rFonts w:cs="Arial"/>
          <w:bCs/>
        </w:rPr>
        <w:tab/>
      </w:r>
      <w:r w:rsidR="00C92BC5" w:rsidRPr="00A74133">
        <w:rPr>
          <w:rStyle w:val="Hyperlink"/>
          <w:rFonts w:cs="Arial"/>
          <w:bCs/>
        </w:rPr>
        <w:t>Rates and Charges Payment Arrangements</w:t>
      </w:r>
    </w:p>
    <w:p w:rsidR="00C92BC5" w:rsidRDefault="00C92BC5" w:rsidP="00A74133">
      <w:pPr>
        <w:ind w:left="1440" w:hanging="720"/>
      </w:pPr>
    </w:p>
    <w:p w:rsidR="00C92BC5" w:rsidRPr="00C92BC5" w:rsidRDefault="00C92BC5" w:rsidP="00A74133">
      <w:pPr>
        <w:ind w:left="720"/>
        <w:rPr>
          <w:rFonts w:ascii="Arial" w:hAnsi="Arial" w:cs="Arial"/>
        </w:rPr>
      </w:pPr>
      <w:r w:rsidRPr="00C92BC5">
        <w:rPr>
          <w:rFonts w:ascii="Arial" w:hAnsi="Arial" w:cs="Arial"/>
        </w:rPr>
        <w:t xml:space="preserve">Any ratepayer who does not qualify for either a rates and charges deferral may still apply to pay outstanding rates and charges by way of a payment arrangement. </w:t>
      </w:r>
    </w:p>
    <w:p w:rsidR="00C92BC5" w:rsidRPr="00C92BC5" w:rsidRDefault="00C92BC5" w:rsidP="00A74133">
      <w:pPr>
        <w:ind w:left="720"/>
        <w:rPr>
          <w:rFonts w:ascii="Arial" w:hAnsi="Arial" w:cs="Arial"/>
        </w:rPr>
      </w:pPr>
    </w:p>
    <w:p w:rsidR="006F1DD6" w:rsidRDefault="00C92BC5" w:rsidP="00A74133">
      <w:pPr>
        <w:ind w:left="720"/>
        <w:rPr>
          <w:rFonts w:ascii="Arial" w:hAnsi="Arial" w:cs="Arial"/>
        </w:rPr>
      </w:pPr>
      <w:r w:rsidRPr="00C92BC5">
        <w:rPr>
          <w:rFonts w:ascii="Arial" w:hAnsi="Arial" w:cs="Arial"/>
        </w:rPr>
        <w:t xml:space="preserve">Payment arrangements will still attract penalty interest on outstanding balances but allow ratepayers additional time to make payments without any legal action being undertaken by the City to recover rates and charges should the payment arrangement be adhered to. </w:t>
      </w:r>
    </w:p>
    <w:p w:rsidR="006F1DD6" w:rsidRDefault="006F1DD6" w:rsidP="00A74133">
      <w:pPr>
        <w:ind w:left="720"/>
        <w:rPr>
          <w:rFonts w:ascii="Arial" w:hAnsi="Arial" w:cs="Arial"/>
        </w:rPr>
      </w:pPr>
    </w:p>
    <w:p w:rsidR="00C92BC5" w:rsidRPr="00DA71EF" w:rsidRDefault="00C92BC5" w:rsidP="00A74133">
      <w:pPr>
        <w:ind w:left="720"/>
        <w:rPr>
          <w:rFonts w:ascii="Arial" w:hAnsi="Arial" w:cs="Arial"/>
        </w:rPr>
      </w:pPr>
      <w:r w:rsidRPr="00C92BC5">
        <w:rPr>
          <w:rFonts w:ascii="Arial" w:hAnsi="Arial" w:cs="Arial"/>
        </w:rPr>
        <w:t xml:space="preserve">Ratepayers who have been approved to pay outstanding rates and charges via a payment </w:t>
      </w:r>
      <w:r w:rsidRPr="00DA71EF">
        <w:rPr>
          <w:rFonts w:ascii="Arial" w:hAnsi="Arial" w:cs="Arial"/>
        </w:rPr>
        <w:t>arrangement are required to settle their rate account in full by 30 June.</w:t>
      </w:r>
      <w:r w:rsidR="001A522E">
        <w:rPr>
          <w:rFonts w:ascii="Arial" w:hAnsi="Arial" w:cs="Arial"/>
        </w:rPr>
        <w:t xml:space="preserve"> Extension beyond this date may be considered, however, </w:t>
      </w:r>
      <w:r w:rsidR="00745FFC">
        <w:rPr>
          <w:rFonts w:ascii="Arial" w:hAnsi="Arial" w:cs="Arial"/>
        </w:rPr>
        <w:t>documented evidence of financial hardship is required.</w:t>
      </w:r>
    </w:p>
    <w:p w:rsidR="00DA71EF" w:rsidRPr="00DA71EF" w:rsidRDefault="00DA71EF" w:rsidP="00A74133">
      <w:pPr>
        <w:pStyle w:val="Default"/>
        <w:spacing w:before="120" w:after="120"/>
        <w:ind w:left="720"/>
        <w:jc w:val="both"/>
        <w:rPr>
          <w:rFonts w:ascii="Arial" w:hAnsi="Arial" w:cs="Arial"/>
        </w:rPr>
      </w:pPr>
      <w:r w:rsidRPr="00DA71EF">
        <w:rPr>
          <w:rFonts w:ascii="Arial" w:hAnsi="Arial" w:cs="Arial"/>
        </w:rPr>
        <w:t xml:space="preserve">Payment arrangements facilitated in accordance with Section 6.49 of the </w:t>
      </w:r>
      <w:r w:rsidR="006F1DD6" w:rsidRPr="006F1DD6">
        <w:rPr>
          <w:rFonts w:ascii="Arial" w:hAnsi="Arial" w:cs="Arial"/>
          <w:i/>
        </w:rPr>
        <w:t>Local Government Act 1995</w:t>
      </w:r>
      <w:r w:rsidRPr="00DA71EF">
        <w:rPr>
          <w:rFonts w:ascii="Arial" w:hAnsi="Arial" w:cs="Arial"/>
        </w:rPr>
        <w:t xml:space="preserve"> are of an agreed frequency and amount. These arrangements will consider the following:</w:t>
      </w:r>
    </w:p>
    <w:p w:rsidR="00DA71EF" w:rsidRPr="00DA71EF" w:rsidRDefault="00DA71EF" w:rsidP="00A74133">
      <w:pPr>
        <w:pStyle w:val="ListParagraph"/>
        <w:numPr>
          <w:ilvl w:val="0"/>
          <w:numId w:val="15"/>
        </w:numPr>
        <w:tabs>
          <w:tab w:val="right" w:pos="8931"/>
        </w:tabs>
        <w:spacing w:before="120" w:after="120"/>
        <w:ind w:left="1080"/>
        <w:jc w:val="both"/>
        <w:rPr>
          <w:rFonts w:ascii="Arial" w:hAnsi="Arial" w:cs="Arial"/>
        </w:rPr>
      </w:pPr>
      <w:r w:rsidRPr="00DA71EF">
        <w:rPr>
          <w:rFonts w:ascii="Arial" w:hAnsi="Arial" w:cs="Arial"/>
        </w:rPr>
        <w:t>That a ratepayer has made genuine effort to meet rate and service charge obligations in the past;</w:t>
      </w:r>
    </w:p>
    <w:p w:rsidR="00DA71EF" w:rsidRPr="00DA71EF" w:rsidRDefault="00DA71EF" w:rsidP="00A74133">
      <w:pPr>
        <w:pStyle w:val="ListParagraph"/>
        <w:numPr>
          <w:ilvl w:val="0"/>
          <w:numId w:val="15"/>
        </w:numPr>
        <w:tabs>
          <w:tab w:val="right" w:pos="8931"/>
        </w:tabs>
        <w:spacing w:before="120" w:after="120"/>
        <w:ind w:left="1080"/>
        <w:jc w:val="both"/>
        <w:rPr>
          <w:rFonts w:ascii="Arial" w:hAnsi="Arial" w:cs="Arial"/>
        </w:rPr>
      </w:pPr>
      <w:r w:rsidRPr="00DA71EF">
        <w:rPr>
          <w:rFonts w:ascii="Arial" w:hAnsi="Arial" w:cs="Arial"/>
        </w:rPr>
        <w:t>The payment arrangement will establish a known end date that is realistic and achievable;</w:t>
      </w:r>
    </w:p>
    <w:p w:rsidR="00DA71EF" w:rsidRDefault="00DA71EF" w:rsidP="00A74133">
      <w:pPr>
        <w:pStyle w:val="ListParagraph"/>
        <w:numPr>
          <w:ilvl w:val="0"/>
          <w:numId w:val="15"/>
        </w:numPr>
        <w:tabs>
          <w:tab w:val="right" w:pos="8931"/>
        </w:tabs>
        <w:spacing w:before="120" w:after="120"/>
        <w:ind w:left="1080"/>
        <w:jc w:val="both"/>
        <w:rPr>
          <w:rFonts w:ascii="Arial" w:hAnsi="Arial" w:cs="Arial"/>
        </w:rPr>
      </w:pPr>
      <w:r w:rsidRPr="00DA71EF">
        <w:rPr>
          <w:rFonts w:ascii="Arial" w:hAnsi="Arial" w:cs="Arial"/>
        </w:rPr>
        <w:t xml:space="preserve">The ratepayer will be responsible for informing the </w:t>
      </w:r>
      <w:r w:rsidR="00BE2E7E">
        <w:rPr>
          <w:rFonts w:ascii="Arial" w:hAnsi="Arial" w:cs="Arial"/>
        </w:rPr>
        <w:t>City of Cockburn</w:t>
      </w:r>
      <w:r w:rsidRPr="00DA71EF">
        <w:rPr>
          <w:rFonts w:ascii="Arial" w:hAnsi="Arial" w:cs="Arial"/>
        </w:rPr>
        <w:t xml:space="preserve"> of any change in circumstance that jeopardises the agreed payment schedule.   </w:t>
      </w:r>
    </w:p>
    <w:p w:rsidR="00C92BC5" w:rsidRPr="00DA71EF" w:rsidRDefault="00C92BC5" w:rsidP="00A74133">
      <w:pPr>
        <w:tabs>
          <w:tab w:val="right" w:pos="8931"/>
        </w:tabs>
        <w:spacing w:before="120" w:after="120"/>
        <w:ind w:left="720"/>
        <w:jc w:val="both"/>
        <w:rPr>
          <w:rFonts w:ascii="Arial" w:hAnsi="Arial" w:cs="Arial"/>
        </w:rPr>
      </w:pPr>
      <w:r w:rsidRPr="00DA71EF">
        <w:rPr>
          <w:rFonts w:ascii="Arial" w:hAnsi="Arial" w:cs="Arial"/>
        </w:rPr>
        <w:t>Legal action may commence without further notice if the payment arrangement is not complied with.</w:t>
      </w:r>
    </w:p>
    <w:p w:rsidR="00C92BC5" w:rsidRPr="00C92BC5" w:rsidRDefault="00C92BC5" w:rsidP="00A74133">
      <w:pPr>
        <w:ind w:left="720"/>
        <w:rPr>
          <w:rFonts w:ascii="Arial" w:hAnsi="Arial" w:cs="Arial"/>
        </w:rPr>
      </w:pPr>
    </w:p>
    <w:p w:rsidR="00C92BC5" w:rsidRPr="00C92BC5" w:rsidRDefault="00C92BC5" w:rsidP="00A74133">
      <w:pPr>
        <w:ind w:left="720"/>
        <w:rPr>
          <w:rFonts w:ascii="Arial" w:hAnsi="Arial" w:cs="Arial"/>
        </w:rPr>
      </w:pPr>
      <w:r w:rsidRPr="00C92BC5">
        <w:rPr>
          <w:rFonts w:ascii="Arial" w:hAnsi="Arial" w:cs="Arial"/>
        </w:rPr>
        <w:t>All requests for payment arrangements must be submitted to the City in writing.</w:t>
      </w:r>
    </w:p>
    <w:p w:rsidR="00C92BC5" w:rsidRPr="00C92BC5" w:rsidRDefault="00C92BC5" w:rsidP="00A74133">
      <w:pPr>
        <w:ind w:left="720"/>
        <w:rPr>
          <w:rFonts w:ascii="Arial" w:hAnsi="Arial" w:cs="Arial"/>
        </w:rPr>
      </w:pPr>
    </w:p>
    <w:p w:rsidR="00C92BC5" w:rsidRPr="00C92BC5" w:rsidRDefault="00C92BC5" w:rsidP="00A74133">
      <w:pPr>
        <w:ind w:left="720"/>
        <w:rPr>
          <w:rFonts w:ascii="Arial" w:hAnsi="Arial" w:cs="Arial"/>
        </w:rPr>
      </w:pPr>
      <w:r w:rsidRPr="00C92BC5">
        <w:rPr>
          <w:rFonts w:ascii="Arial" w:hAnsi="Arial" w:cs="Arial"/>
        </w:rPr>
        <w:t>Where property ownership changes all overdue rates and charges must be fully paid at settlement date. Payment arrangements and deferral agreements are not transferable.</w:t>
      </w:r>
    </w:p>
    <w:p w:rsidR="00C92BC5" w:rsidRDefault="00C92BC5" w:rsidP="00C92BC5"/>
    <w:p w:rsidR="00C92BC5" w:rsidRPr="00A74133" w:rsidRDefault="00A74133" w:rsidP="00A74133">
      <w:pPr>
        <w:tabs>
          <w:tab w:val="left" w:pos="720"/>
          <w:tab w:val="left" w:pos="9026"/>
        </w:tabs>
        <w:spacing w:before="2"/>
        <w:ind w:right="-46"/>
        <w:rPr>
          <w:rStyle w:val="Hyperlink"/>
          <w:rFonts w:cs="Arial"/>
          <w:bCs/>
        </w:rPr>
      </w:pPr>
      <w:r>
        <w:rPr>
          <w:rStyle w:val="Hyperlink"/>
          <w:rFonts w:cs="Arial"/>
          <w:bCs/>
        </w:rPr>
        <w:t>(5)</w:t>
      </w:r>
      <w:r>
        <w:rPr>
          <w:rStyle w:val="Hyperlink"/>
          <w:rFonts w:cs="Arial"/>
          <w:bCs/>
        </w:rPr>
        <w:tab/>
      </w:r>
      <w:r w:rsidR="00C92BC5" w:rsidRPr="00A74133">
        <w:rPr>
          <w:rStyle w:val="Hyperlink"/>
          <w:rFonts w:cs="Arial"/>
          <w:bCs/>
        </w:rPr>
        <w:t xml:space="preserve">Centrepay </w:t>
      </w:r>
    </w:p>
    <w:p w:rsidR="00C92BC5" w:rsidRPr="002B3E54" w:rsidRDefault="00C92BC5" w:rsidP="00C92BC5">
      <w:pPr>
        <w:ind w:left="720"/>
        <w:rPr>
          <w:b/>
        </w:rPr>
      </w:pPr>
    </w:p>
    <w:p w:rsidR="00C92BC5" w:rsidRPr="00C92BC5" w:rsidRDefault="00C92BC5" w:rsidP="00A74133">
      <w:pPr>
        <w:ind w:left="720"/>
        <w:rPr>
          <w:rFonts w:ascii="Arial" w:hAnsi="Arial" w:cs="Arial"/>
        </w:rPr>
      </w:pPr>
      <w:r w:rsidRPr="00C92BC5">
        <w:rPr>
          <w:rFonts w:ascii="Arial" w:hAnsi="Arial" w:cs="Arial"/>
        </w:rPr>
        <w:t>The City also enables payment arrangements for Centrelink clients via Centrepay, a service provided by Centrelink (Department of Human Services) to facilitate automatic deduction of bills and charges from their Centrelink payments. Anyone on Centrelink can apply to have a designated amount of their Centrelink payment directed to the City. This facility is free to the Centrelink customer (there is a small charge to the City for each transaction).</w:t>
      </w:r>
    </w:p>
    <w:p w:rsidR="00C92BC5" w:rsidRDefault="00C92BC5" w:rsidP="00C92BC5">
      <w:pPr>
        <w:rPr>
          <w:sz w:val="23"/>
          <w:szCs w:val="23"/>
        </w:rPr>
      </w:pPr>
    </w:p>
    <w:p w:rsidR="00E40FE0" w:rsidRDefault="00E40FE0" w:rsidP="00C92BC5">
      <w:pPr>
        <w:rPr>
          <w:sz w:val="23"/>
          <w:szCs w:val="23"/>
        </w:rPr>
      </w:pPr>
    </w:p>
    <w:p w:rsidR="00E40FE0" w:rsidRDefault="00E40FE0" w:rsidP="00C92BC5">
      <w:pPr>
        <w:rPr>
          <w:sz w:val="23"/>
          <w:szCs w:val="23"/>
        </w:rPr>
      </w:pPr>
    </w:p>
    <w:p w:rsidR="00E40FE0" w:rsidRDefault="00E40FE0" w:rsidP="00C92BC5">
      <w:pPr>
        <w:rPr>
          <w:sz w:val="23"/>
          <w:szCs w:val="23"/>
        </w:rPr>
      </w:pPr>
    </w:p>
    <w:p w:rsidR="00C92BC5" w:rsidRPr="00A74133" w:rsidRDefault="00A74133" w:rsidP="00A74133">
      <w:pPr>
        <w:tabs>
          <w:tab w:val="left" w:pos="720"/>
          <w:tab w:val="left" w:pos="9026"/>
        </w:tabs>
        <w:spacing w:before="2"/>
        <w:ind w:right="-46"/>
        <w:rPr>
          <w:rStyle w:val="Hyperlink"/>
          <w:rFonts w:cs="Arial"/>
          <w:bCs/>
        </w:rPr>
      </w:pPr>
      <w:r>
        <w:rPr>
          <w:rStyle w:val="Hyperlink"/>
          <w:rFonts w:cs="Arial"/>
          <w:bCs/>
        </w:rPr>
        <w:lastRenderedPageBreak/>
        <w:t>(6)</w:t>
      </w:r>
      <w:r>
        <w:rPr>
          <w:rStyle w:val="Hyperlink"/>
          <w:rFonts w:cs="Arial"/>
          <w:bCs/>
        </w:rPr>
        <w:tab/>
      </w:r>
      <w:r w:rsidR="00C92BC5" w:rsidRPr="00A74133">
        <w:rPr>
          <w:rStyle w:val="Hyperlink"/>
          <w:rFonts w:cs="Arial"/>
          <w:bCs/>
        </w:rPr>
        <w:t>Penalty Interest</w:t>
      </w:r>
    </w:p>
    <w:p w:rsidR="00C92BC5" w:rsidRPr="005635F2" w:rsidRDefault="00C92BC5" w:rsidP="00C92BC5">
      <w:pPr>
        <w:ind w:left="720"/>
        <w:rPr>
          <w:b/>
        </w:rPr>
      </w:pPr>
    </w:p>
    <w:p w:rsidR="00C92BC5" w:rsidRDefault="00C92BC5" w:rsidP="00A74133">
      <w:pPr>
        <w:pStyle w:val="Default"/>
        <w:ind w:left="720"/>
        <w:jc w:val="both"/>
        <w:rPr>
          <w:rFonts w:ascii="Arial" w:hAnsi="Arial" w:cs="Times New Roman"/>
          <w:color w:val="auto"/>
          <w:szCs w:val="20"/>
          <w:lang w:eastAsia="en-US"/>
        </w:rPr>
      </w:pPr>
      <w:r w:rsidRPr="005635F2">
        <w:rPr>
          <w:rFonts w:ascii="Arial" w:hAnsi="Arial" w:cs="Times New Roman"/>
          <w:color w:val="auto"/>
          <w:szCs w:val="20"/>
          <w:lang w:eastAsia="en-US"/>
        </w:rPr>
        <w:t xml:space="preserve">Interest will </w:t>
      </w:r>
      <w:r>
        <w:rPr>
          <w:rFonts w:ascii="Arial" w:hAnsi="Arial" w:cs="Times New Roman"/>
          <w:color w:val="auto"/>
          <w:szCs w:val="20"/>
          <w:lang w:eastAsia="en-US"/>
        </w:rPr>
        <w:t xml:space="preserve">be charged on all overdue rates and charges in accordance with Section 6.51 of </w:t>
      </w:r>
      <w:r w:rsidRPr="002B3E54">
        <w:rPr>
          <w:rFonts w:ascii="Arial" w:hAnsi="Arial" w:cs="Times New Roman"/>
          <w:i/>
          <w:color w:val="auto"/>
          <w:szCs w:val="20"/>
          <w:lang w:eastAsia="en-US"/>
        </w:rPr>
        <w:t>Local Government Act 1995</w:t>
      </w:r>
      <w:r>
        <w:rPr>
          <w:rFonts w:ascii="Arial" w:hAnsi="Arial" w:cs="Times New Roman"/>
          <w:color w:val="auto"/>
          <w:szCs w:val="20"/>
          <w:lang w:eastAsia="en-US"/>
        </w:rPr>
        <w:t xml:space="preserve">. Eligible Pensioners/Seniors entitled to a rebate under the </w:t>
      </w:r>
      <w:r w:rsidRPr="00974F3B">
        <w:rPr>
          <w:rFonts w:ascii="Arial" w:hAnsi="Arial" w:cs="Times New Roman"/>
          <w:i/>
          <w:color w:val="auto"/>
          <w:szCs w:val="20"/>
          <w:lang w:eastAsia="en-US"/>
        </w:rPr>
        <w:t>Rates and Charges (Rebates and Deferments) Act 1992</w:t>
      </w:r>
      <w:r>
        <w:rPr>
          <w:rFonts w:ascii="Arial" w:hAnsi="Arial" w:cs="Times New Roman"/>
          <w:color w:val="auto"/>
          <w:szCs w:val="20"/>
          <w:lang w:eastAsia="en-US"/>
        </w:rPr>
        <w:t xml:space="preserve"> are excluded from penalty interest charges.</w:t>
      </w:r>
    </w:p>
    <w:p w:rsidR="00857163" w:rsidRDefault="00857163" w:rsidP="00A74133">
      <w:pPr>
        <w:tabs>
          <w:tab w:val="left" w:pos="9026"/>
        </w:tabs>
        <w:spacing w:before="2"/>
        <w:ind w:left="720" w:right="-46"/>
        <w:rPr>
          <w:rFonts w:ascii="Arial" w:hAnsi="Arial" w:cs="Arial"/>
          <w:highlight w:val="yellow"/>
        </w:rPr>
      </w:pPr>
    </w:p>
    <w:p w:rsidR="003C5914" w:rsidRDefault="004A3A7F" w:rsidP="00A74133">
      <w:pPr>
        <w:tabs>
          <w:tab w:val="left" w:pos="9026"/>
        </w:tabs>
        <w:spacing w:before="2"/>
        <w:ind w:left="720" w:right="-46"/>
        <w:rPr>
          <w:rFonts w:ascii="Arial" w:hAnsi="Arial" w:cs="Arial"/>
        </w:rPr>
      </w:pPr>
      <w:r w:rsidRPr="00E80A08">
        <w:rPr>
          <w:rFonts w:ascii="Arial" w:hAnsi="Arial" w:cs="Arial"/>
        </w:rPr>
        <w:t>I</w:t>
      </w:r>
      <w:r w:rsidR="003C5914" w:rsidRPr="00E80A08">
        <w:rPr>
          <w:rFonts w:ascii="Arial" w:hAnsi="Arial" w:cs="Arial"/>
        </w:rPr>
        <w:t xml:space="preserve">nterest may be </w:t>
      </w:r>
      <w:r w:rsidR="006268F7" w:rsidRPr="00E80A08">
        <w:rPr>
          <w:rFonts w:ascii="Arial" w:hAnsi="Arial" w:cs="Arial"/>
        </w:rPr>
        <w:t>waived</w:t>
      </w:r>
      <w:r w:rsidR="003C5914" w:rsidRPr="00E80A08">
        <w:rPr>
          <w:rFonts w:ascii="Arial" w:hAnsi="Arial" w:cs="Arial"/>
        </w:rPr>
        <w:t xml:space="preserve"> where hardship affects </w:t>
      </w:r>
      <w:r w:rsidRPr="00E80A08">
        <w:rPr>
          <w:rFonts w:ascii="Arial" w:hAnsi="Arial" w:cs="Arial"/>
        </w:rPr>
        <w:t>a significant section of the community</w:t>
      </w:r>
      <w:r w:rsidR="003C5914" w:rsidRPr="00E80A08">
        <w:rPr>
          <w:rFonts w:ascii="Arial" w:hAnsi="Arial" w:cs="Arial"/>
        </w:rPr>
        <w:t xml:space="preserve"> such as a pandemic. The decision to waive interest will be made by Council</w:t>
      </w:r>
      <w:r w:rsidR="00AE7F70" w:rsidRPr="00E80A08">
        <w:rPr>
          <w:rFonts w:ascii="Arial" w:hAnsi="Arial" w:cs="Arial"/>
        </w:rPr>
        <w:t xml:space="preserve"> (excluding the late payment interest applicable to the Emergency Services Levy).</w:t>
      </w:r>
    </w:p>
    <w:p w:rsidR="006268F7" w:rsidRDefault="006268F7" w:rsidP="003C5914">
      <w:pPr>
        <w:tabs>
          <w:tab w:val="left" w:pos="9026"/>
        </w:tabs>
        <w:spacing w:before="2"/>
        <w:ind w:right="-46"/>
        <w:rPr>
          <w:rFonts w:ascii="Arial" w:hAnsi="Arial" w:cs="Arial"/>
        </w:rPr>
      </w:pPr>
    </w:p>
    <w:p w:rsidR="00733C0B" w:rsidRPr="00A74133" w:rsidRDefault="00A74133" w:rsidP="00A74133">
      <w:pPr>
        <w:tabs>
          <w:tab w:val="left" w:pos="720"/>
          <w:tab w:val="left" w:pos="9026"/>
        </w:tabs>
        <w:spacing w:before="2"/>
        <w:ind w:right="-46"/>
        <w:rPr>
          <w:rStyle w:val="Hyperlink"/>
          <w:rFonts w:cs="Arial"/>
          <w:bCs/>
        </w:rPr>
      </w:pPr>
      <w:r>
        <w:rPr>
          <w:rStyle w:val="Hyperlink"/>
          <w:rFonts w:cs="Arial"/>
          <w:bCs/>
        </w:rPr>
        <w:t>(7)</w:t>
      </w:r>
      <w:r>
        <w:rPr>
          <w:rStyle w:val="Hyperlink"/>
          <w:rFonts w:cs="Arial"/>
          <w:bCs/>
        </w:rPr>
        <w:tab/>
      </w:r>
      <w:r w:rsidR="00733C0B" w:rsidRPr="00A74133">
        <w:rPr>
          <w:rStyle w:val="Hyperlink"/>
          <w:rFonts w:cs="Arial"/>
          <w:bCs/>
        </w:rPr>
        <w:t>Debt recovery</w:t>
      </w:r>
    </w:p>
    <w:p w:rsidR="00733C0B" w:rsidRPr="00733C0B" w:rsidRDefault="00733C0B" w:rsidP="00733C0B">
      <w:pPr>
        <w:pStyle w:val="ListParagraph"/>
        <w:tabs>
          <w:tab w:val="left" w:pos="9026"/>
        </w:tabs>
        <w:spacing w:before="2"/>
        <w:ind w:right="-46"/>
        <w:rPr>
          <w:rStyle w:val="Hyperlink"/>
          <w:b/>
          <w:bCs/>
        </w:rPr>
      </w:pPr>
    </w:p>
    <w:p w:rsidR="006268F7" w:rsidRDefault="00DA651C" w:rsidP="00A74133">
      <w:pPr>
        <w:ind w:left="720"/>
        <w:rPr>
          <w:rFonts w:ascii="Arial" w:hAnsi="Arial" w:cs="Arial"/>
        </w:rPr>
      </w:pPr>
      <w:r>
        <w:rPr>
          <w:rFonts w:ascii="Arial" w:hAnsi="Arial" w:cs="Arial"/>
        </w:rPr>
        <w:t xml:space="preserve">The City will suspend </w:t>
      </w:r>
      <w:r w:rsidR="00733C0B" w:rsidRPr="00733C0B">
        <w:rPr>
          <w:rFonts w:ascii="Arial" w:hAnsi="Arial" w:cs="Arial"/>
        </w:rPr>
        <w:t xml:space="preserve">debt recovery processes whilst negotiating a suitable </w:t>
      </w:r>
      <w:r w:rsidR="006268F7">
        <w:rPr>
          <w:rFonts w:ascii="Arial" w:hAnsi="Arial" w:cs="Arial"/>
        </w:rPr>
        <w:t xml:space="preserve">deferral or </w:t>
      </w:r>
      <w:r w:rsidR="00733C0B" w:rsidRPr="00733C0B">
        <w:rPr>
          <w:rFonts w:ascii="Arial" w:hAnsi="Arial" w:cs="Arial"/>
        </w:rPr>
        <w:t xml:space="preserve">payment arrangement with a </w:t>
      </w:r>
      <w:r>
        <w:rPr>
          <w:rFonts w:ascii="Arial" w:hAnsi="Arial" w:cs="Arial"/>
        </w:rPr>
        <w:t xml:space="preserve">ratepayer. </w:t>
      </w:r>
    </w:p>
    <w:p w:rsidR="006268F7" w:rsidRDefault="006268F7" w:rsidP="00A74133">
      <w:pPr>
        <w:ind w:left="720"/>
        <w:rPr>
          <w:rFonts w:ascii="Arial" w:hAnsi="Arial" w:cs="Arial"/>
        </w:rPr>
      </w:pPr>
    </w:p>
    <w:p w:rsidR="00733C0B" w:rsidRPr="00733C0B" w:rsidRDefault="00DA651C" w:rsidP="00A74133">
      <w:pPr>
        <w:ind w:left="720"/>
        <w:rPr>
          <w:rFonts w:ascii="Arial" w:hAnsi="Arial" w:cs="Arial"/>
        </w:rPr>
      </w:pPr>
      <w:r>
        <w:rPr>
          <w:rFonts w:ascii="Arial" w:hAnsi="Arial" w:cs="Arial"/>
        </w:rPr>
        <w:t>Where a ratepayer</w:t>
      </w:r>
      <w:r w:rsidR="00733C0B" w:rsidRPr="00733C0B">
        <w:rPr>
          <w:rFonts w:ascii="Arial" w:hAnsi="Arial" w:cs="Arial"/>
        </w:rPr>
        <w:t xml:space="preserve"> is unable to make payments in accordance with the agreed payment plan and the </w:t>
      </w:r>
      <w:r>
        <w:rPr>
          <w:rFonts w:ascii="Arial" w:hAnsi="Arial" w:cs="Arial"/>
        </w:rPr>
        <w:t xml:space="preserve">ratepayer advises the City </w:t>
      </w:r>
      <w:r w:rsidR="00733C0B" w:rsidRPr="00733C0B">
        <w:rPr>
          <w:rFonts w:ascii="Arial" w:hAnsi="Arial" w:cs="Arial"/>
        </w:rPr>
        <w:t xml:space="preserve">and makes an alternative </w:t>
      </w:r>
      <w:r>
        <w:rPr>
          <w:rFonts w:ascii="Arial" w:hAnsi="Arial" w:cs="Arial"/>
        </w:rPr>
        <w:t>plan before defaulting on the 2</w:t>
      </w:r>
      <w:r w:rsidRPr="00DA651C">
        <w:rPr>
          <w:rFonts w:ascii="Arial" w:hAnsi="Arial" w:cs="Arial"/>
          <w:vertAlign w:val="superscript"/>
        </w:rPr>
        <w:t>nd</w:t>
      </w:r>
      <w:r>
        <w:rPr>
          <w:rFonts w:ascii="Arial" w:hAnsi="Arial" w:cs="Arial"/>
        </w:rPr>
        <w:t xml:space="preserve"> </w:t>
      </w:r>
      <w:r w:rsidR="00733C0B" w:rsidRPr="00733C0B">
        <w:rPr>
          <w:rFonts w:ascii="Arial" w:hAnsi="Arial" w:cs="Arial"/>
        </w:rPr>
        <w:t xml:space="preserve">due payment, </w:t>
      </w:r>
      <w:r>
        <w:rPr>
          <w:rFonts w:ascii="Arial" w:hAnsi="Arial" w:cs="Arial"/>
        </w:rPr>
        <w:t>the City will</w:t>
      </w:r>
      <w:r w:rsidR="00733C0B" w:rsidRPr="00733C0B">
        <w:rPr>
          <w:rFonts w:ascii="Arial" w:hAnsi="Arial" w:cs="Arial"/>
        </w:rPr>
        <w:t xml:space="preserve"> continue to suspend debt recovery processes.</w:t>
      </w:r>
    </w:p>
    <w:p w:rsidR="00733C0B" w:rsidRPr="00733C0B" w:rsidRDefault="00733C0B" w:rsidP="00733C0B">
      <w:pPr>
        <w:rPr>
          <w:rFonts w:ascii="Arial" w:hAnsi="Arial" w:cs="Arial"/>
        </w:rPr>
      </w:pPr>
    </w:p>
    <w:p w:rsidR="00C92BC5" w:rsidRPr="00A74133" w:rsidRDefault="00A74133" w:rsidP="00A74133">
      <w:pPr>
        <w:tabs>
          <w:tab w:val="left" w:pos="720"/>
          <w:tab w:val="left" w:pos="9026"/>
        </w:tabs>
        <w:spacing w:before="2"/>
        <w:ind w:right="-46"/>
        <w:rPr>
          <w:rStyle w:val="Hyperlink"/>
          <w:rFonts w:cs="Arial"/>
          <w:bCs/>
        </w:rPr>
      </w:pPr>
      <w:r>
        <w:rPr>
          <w:rStyle w:val="Hyperlink"/>
          <w:rFonts w:cs="Arial"/>
          <w:bCs/>
        </w:rPr>
        <w:t>(8)</w:t>
      </w:r>
      <w:r>
        <w:rPr>
          <w:rStyle w:val="Hyperlink"/>
          <w:rFonts w:cs="Arial"/>
          <w:bCs/>
        </w:rPr>
        <w:tab/>
      </w:r>
      <w:r w:rsidR="003C5914" w:rsidRPr="00A74133">
        <w:rPr>
          <w:rStyle w:val="Hyperlink"/>
          <w:rFonts w:cs="Arial"/>
          <w:bCs/>
        </w:rPr>
        <w:t xml:space="preserve">Communication and </w:t>
      </w:r>
      <w:r w:rsidR="00C92BC5" w:rsidRPr="00A74133">
        <w:rPr>
          <w:rStyle w:val="Hyperlink"/>
          <w:rFonts w:cs="Arial"/>
          <w:bCs/>
        </w:rPr>
        <w:t>Confidentiality</w:t>
      </w:r>
    </w:p>
    <w:p w:rsidR="00C92BC5" w:rsidRDefault="00C92BC5" w:rsidP="00C92BC5">
      <w:pPr>
        <w:ind w:left="720"/>
      </w:pPr>
    </w:p>
    <w:p w:rsidR="00C92BC5" w:rsidRPr="00C92BC5" w:rsidRDefault="00C92BC5" w:rsidP="00A74133">
      <w:pPr>
        <w:ind w:left="720"/>
        <w:rPr>
          <w:rFonts w:ascii="Arial" w:hAnsi="Arial" w:cs="Arial"/>
        </w:rPr>
      </w:pPr>
      <w:r w:rsidRPr="00C92BC5">
        <w:rPr>
          <w:rFonts w:ascii="Arial" w:hAnsi="Arial" w:cs="Arial"/>
        </w:rPr>
        <w:t>Any information provided in accordance with this policy will be treated as strictly confidential and in accordance with the City’s Privacy Statement.</w:t>
      </w:r>
    </w:p>
    <w:p w:rsidR="00151611" w:rsidRPr="00F94F2C" w:rsidRDefault="00151611" w:rsidP="00A74133">
      <w:pPr>
        <w:tabs>
          <w:tab w:val="left" w:pos="9026"/>
        </w:tabs>
        <w:spacing w:before="2"/>
        <w:ind w:left="720" w:right="-46"/>
        <w:rPr>
          <w:rFonts w:ascii="Arial" w:hAnsi="Arial" w:cs="Arial"/>
        </w:rPr>
      </w:pPr>
    </w:p>
    <w:p w:rsidR="00151611" w:rsidRPr="00F94F2C" w:rsidRDefault="003C5914" w:rsidP="00A74133">
      <w:pPr>
        <w:tabs>
          <w:tab w:val="left" w:pos="9026"/>
        </w:tabs>
        <w:spacing w:before="2"/>
        <w:ind w:left="720" w:right="-46"/>
        <w:rPr>
          <w:rFonts w:ascii="Arial" w:hAnsi="Arial" w:cs="Arial"/>
        </w:rPr>
      </w:pPr>
      <w:r w:rsidRPr="0041612B">
        <w:rPr>
          <w:rFonts w:ascii="Arial" w:hAnsi="Arial" w:cs="Arial"/>
        </w:rPr>
        <w:t>We recognise that applicants for hardship consideration are experiencing additional stressors, and may have complex needs. We will provide additional time to respond to communication and will communicate in alternative formats where appropriate. We will ensure all communication with applicants is clear and respectful.</w:t>
      </w:r>
    </w:p>
    <w:p w:rsidR="00656C9D" w:rsidRPr="00F94F2C" w:rsidRDefault="00656C9D" w:rsidP="00656C9D">
      <w:pPr>
        <w:tabs>
          <w:tab w:val="left" w:pos="9026"/>
        </w:tabs>
        <w:spacing w:before="2"/>
        <w:ind w:right="-46"/>
        <w:rPr>
          <w:rStyle w:val="Hyperlink"/>
          <w:rFonts w:cs="Arial"/>
          <w:b/>
          <w:bCs/>
        </w:rPr>
      </w:pPr>
    </w:p>
    <w:p w:rsidR="00151611" w:rsidRPr="00F94F2C" w:rsidRDefault="00151611" w:rsidP="00656C9D">
      <w:pPr>
        <w:tabs>
          <w:tab w:val="left" w:pos="9026"/>
        </w:tabs>
        <w:spacing w:before="2"/>
        <w:ind w:right="-46"/>
        <w:rPr>
          <w:rStyle w:val="Hyperlink"/>
          <w:rFonts w:cs="Arial"/>
          <w:b/>
          <w:bCs/>
        </w:rPr>
      </w:pPr>
    </w:p>
    <w:p w:rsidR="00656C9D" w:rsidRPr="00721265" w:rsidRDefault="00656C9D" w:rsidP="00BA0F37">
      <w:pPr>
        <w:rPr>
          <w:rFonts w:ascii="Arial" w:hAnsi="Arial" w:cs="Arial"/>
          <w:b/>
          <w:color w:val="FFFFFF"/>
          <w:sz w:val="4"/>
          <w:szCs w:val="4"/>
        </w:rPr>
      </w:pPr>
    </w:p>
    <w:p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1"/>
    </w:p>
    <w:p w:rsidR="002C51C6" w:rsidRPr="00721265" w:rsidRDefault="002C51C6" w:rsidP="00BA0F37">
      <w:pPr>
        <w:rPr>
          <w:rFonts w:ascii="Arial" w:hAnsi="Arial" w:cs="Arial"/>
          <w:b/>
          <w:color w:val="FFFFFF"/>
          <w:sz w:val="4"/>
          <w:szCs w:val="4"/>
        </w:rPr>
      </w:pPr>
      <w:bookmarkStart w:id="2"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3" w:name="Dropdown1"/>
          <w:bookmarkEnd w:id="2"/>
          <w:p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3"/>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rsidR="0013597B" w:rsidRPr="0013597B" w:rsidRDefault="0013597B" w:rsidP="0013597B">
            <w:pPr>
              <w:spacing w:line="262" w:lineRule="exact"/>
              <w:rPr>
                <w:rFonts w:ascii="Arial" w:hAnsi="Arial" w:cs="Arial"/>
              </w:rPr>
            </w:pPr>
            <w:r w:rsidRPr="0013597B">
              <w:rPr>
                <w:rFonts w:ascii="Arial" w:hAnsi="Arial" w:cs="Arial"/>
              </w:rPr>
              <w:t>Strategic Community Plan Objective ‘Leading &amp;</w:t>
            </w:r>
          </w:p>
          <w:p w:rsidR="00122F79" w:rsidRPr="00F94F2C" w:rsidRDefault="0013597B" w:rsidP="0013597B">
            <w:pPr>
              <w:rPr>
                <w:rFonts w:ascii="Arial" w:hAnsi="Arial" w:cs="Arial"/>
              </w:rPr>
            </w:pPr>
            <w:r w:rsidRPr="0013597B">
              <w:rPr>
                <w:rFonts w:ascii="Arial" w:hAnsi="Arial" w:cs="Arial"/>
              </w:rPr>
              <w:t>Listening</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122F79" w:rsidRPr="00F94F2C" w:rsidRDefault="00CE1297"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rsidR="00122F79" w:rsidRPr="00F94F2C" w:rsidRDefault="00A74133" w:rsidP="00BA0F37">
            <w:pPr>
              <w:rPr>
                <w:rFonts w:ascii="Arial" w:hAnsi="Arial" w:cs="Arial"/>
              </w:rPr>
            </w:pPr>
            <w:r>
              <w:rPr>
                <w:rFonts w:ascii="Arial" w:hAnsi="Arial" w:cs="Arial"/>
              </w:rPr>
              <w:t>Organisational/Governance</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122F79" w:rsidRPr="00F94F2C" w:rsidRDefault="00CE1297"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rsidR="00122F79" w:rsidRPr="00F94F2C" w:rsidRDefault="00DF7B59" w:rsidP="00BA0F37">
            <w:pPr>
              <w:rPr>
                <w:rFonts w:ascii="Arial" w:hAnsi="Arial" w:cs="Arial"/>
              </w:rPr>
            </w:pPr>
            <w:r>
              <w:rPr>
                <w:rFonts w:ascii="Arial" w:hAnsi="Arial" w:cs="Arial"/>
              </w:rPr>
              <w:t>Rates &amp; Revenue Services</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F94F2C" w:rsidRDefault="00CE1297"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rsidR="00122F79" w:rsidRPr="00F94F2C" w:rsidRDefault="00DF7B59" w:rsidP="00BA0F37">
            <w:pPr>
              <w:rPr>
                <w:rFonts w:ascii="Arial" w:hAnsi="Arial" w:cs="Arial"/>
              </w:rPr>
            </w:pPr>
            <w:r>
              <w:rPr>
                <w:rFonts w:ascii="Arial" w:hAnsi="Arial" w:cs="Arial"/>
              </w:rPr>
              <w:t>No</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F94F2C" w:rsidRDefault="00CE1297"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rsidR="00122F79" w:rsidRPr="00F94F2C" w:rsidRDefault="0041612B" w:rsidP="00BA0F37">
            <w:pPr>
              <w:rPr>
                <w:rFonts w:ascii="Arial" w:hAnsi="Arial" w:cs="Arial"/>
              </w:rPr>
            </w:pPr>
            <w:r>
              <w:rPr>
                <w:rFonts w:ascii="Arial" w:hAnsi="Arial" w:cs="Arial"/>
              </w:rPr>
              <w:t>12 May 2020</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F94F2C" w:rsidRDefault="00CE1297"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rsidR="00122F79" w:rsidRPr="00F94F2C" w:rsidRDefault="00A74133" w:rsidP="00BA0F37">
            <w:pPr>
              <w:rPr>
                <w:rFonts w:ascii="Arial" w:hAnsi="Arial" w:cs="Arial"/>
              </w:rPr>
            </w:pPr>
            <w:r>
              <w:rPr>
                <w:rFonts w:ascii="Arial" w:hAnsi="Arial" w:cs="Arial"/>
              </w:rPr>
              <w:t>May 2022</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rsidR="00F94F2C" w:rsidRDefault="00CE1297"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rsidR="00122F79" w:rsidRPr="00F94F2C" w:rsidRDefault="00CE1297" w:rsidP="00BA0F37">
            <w:pPr>
              <w:rPr>
                <w:rFonts w:ascii="Arial" w:hAnsi="Arial" w:cs="Arial"/>
              </w:rPr>
            </w:pPr>
            <w:r w:rsidRPr="00CE1297">
              <w:rPr>
                <w:rFonts w:ascii="Arial" w:hAnsi="Arial" w:cs="Arial"/>
              </w:rPr>
              <w:t>9446126</w:t>
            </w:r>
            <w:bookmarkStart w:id="4" w:name="_GoBack"/>
            <w:bookmarkEnd w:id="4"/>
          </w:p>
        </w:tc>
      </w:tr>
    </w:tbl>
    <w:p w:rsidR="00721265" w:rsidRPr="008816A0" w:rsidRDefault="00721265" w:rsidP="00F94F2C"/>
    <w:sectPr w:rsidR="00721265" w:rsidRPr="008816A0" w:rsidSect="00623C8C">
      <w:headerReference w:type="default" r:id="rId9"/>
      <w:footerReference w:type="default" r:id="rId10"/>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404" w:rsidRDefault="001C5404">
      <w:r>
        <w:separator/>
      </w:r>
    </w:p>
  </w:endnote>
  <w:endnote w:type="continuationSeparator" w:id="0">
    <w:p w:rsidR="001C5404" w:rsidRDefault="001C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50792"/>
      <w:docPartObj>
        <w:docPartGallery w:val="Page Numbers (Bottom of Page)"/>
        <w:docPartUnique/>
      </w:docPartObj>
    </w:sdtPr>
    <w:sdtEndPr>
      <w:rPr>
        <w:rFonts w:ascii="Arial" w:hAnsi="Arial" w:cs="Arial"/>
      </w:rPr>
    </w:sdtEndPr>
    <w:sdtContent>
      <w:p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CE1297">
          <w:rPr>
            <w:rFonts w:ascii="Arial" w:hAnsi="Arial" w:cs="Arial"/>
            <w:noProof/>
          </w:rPr>
          <w:t>5</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404" w:rsidRDefault="001C5404">
      <w:r>
        <w:separator/>
      </w:r>
    </w:p>
  </w:footnote>
  <w:footnote w:type="continuationSeparator" w:id="0">
    <w:p w:rsidR="001C5404" w:rsidRDefault="001C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rsidTr="00623C8C">
      <w:trPr>
        <w:trHeight w:val="340"/>
        <w:tblCellSpacing w:w="20" w:type="dxa"/>
      </w:trPr>
      <w:tc>
        <w:tcPr>
          <w:tcW w:w="2088" w:type="dxa"/>
          <w:shd w:val="clear" w:color="auto" w:fill="auto"/>
          <w:vAlign w:val="center"/>
        </w:tcPr>
        <w:p w:rsidR="00623C8C" w:rsidRPr="00F94F2C" w:rsidRDefault="00623C8C" w:rsidP="00623C8C">
          <w:r w:rsidRPr="00F94F2C">
            <w:rPr>
              <w:rFonts w:ascii="Arial" w:hAnsi="Arial" w:cs="Arial"/>
              <w:b/>
            </w:rPr>
            <w:t>Title</w:t>
          </w:r>
        </w:p>
      </w:tc>
      <w:tc>
        <w:tcPr>
          <w:tcW w:w="5386" w:type="dxa"/>
          <w:shd w:val="clear" w:color="auto" w:fill="auto"/>
          <w:vAlign w:val="center"/>
        </w:tcPr>
        <w:p w:rsidR="00623C8C" w:rsidRPr="00712CED" w:rsidRDefault="009A0A01" w:rsidP="00E40FE0">
          <w:pPr>
            <w:pStyle w:val="Header"/>
            <w:rPr>
              <w:rFonts w:ascii="Arial Bold" w:hAnsi="Arial Bold" w:cs="Arial"/>
              <w:b/>
            </w:rPr>
          </w:pPr>
          <w:r w:rsidRPr="00712CED">
            <w:rPr>
              <w:rFonts w:ascii="Arial Bold" w:hAnsi="Arial Bold" w:cs="Arial"/>
              <w:b/>
              <w:noProof/>
            </w:rPr>
            <w:drawing>
              <wp:anchor distT="0" distB="0" distL="114300" distR="114300" simplePos="0" relativeHeight="251657216" behindDoc="0" locked="0" layoutInCell="1" allowOverlap="1" wp14:anchorId="4D054A32" wp14:editId="5EFC4A43">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0FE0">
            <w:rPr>
              <w:rFonts w:ascii="Arial Bold" w:hAnsi="Arial Bold" w:cs="Arial"/>
              <w:b/>
            </w:rPr>
            <w:t>Financial Hardship</w:t>
          </w:r>
        </w:p>
      </w:tc>
    </w:tr>
    <w:tr w:rsidR="00623C8C" w:rsidRPr="00F94F2C" w:rsidTr="00623C8C">
      <w:trPr>
        <w:trHeight w:val="340"/>
        <w:tblCellSpacing w:w="20" w:type="dxa"/>
      </w:trPr>
      <w:tc>
        <w:tcPr>
          <w:tcW w:w="2088" w:type="dxa"/>
          <w:shd w:val="clear" w:color="auto" w:fill="auto"/>
          <w:vAlign w:val="center"/>
        </w:tcPr>
        <w:p w:rsidR="00F94F2C" w:rsidRDefault="00CE1297" w:rsidP="00F94F2C">
          <w:pPr>
            <w:rPr>
              <w:rStyle w:val="Hyperlink"/>
              <w:rFonts w:cs="Arial"/>
              <w:b/>
            </w:rPr>
          </w:pPr>
          <w:hyperlink w:anchor="_top" w:tooltip="Admin Purpose only, do not ammend" w:history="1">
            <w:r w:rsidR="00623C8C" w:rsidRPr="00F94F2C">
              <w:rPr>
                <w:rStyle w:val="Hyperlink"/>
                <w:rFonts w:cs="Arial"/>
                <w:b/>
              </w:rPr>
              <w:t>Policy Number</w:t>
            </w:r>
          </w:hyperlink>
        </w:p>
        <w:p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rsidR="00623C8C" w:rsidRPr="00F94F2C" w:rsidRDefault="00623C8C" w:rsidP="00623C8C">
          <w:pPr>
            <w:pStyle w:val="Header"/>
            <w:rPr>
              <w:rFonts w:ascii="Arial Bold" w:hAnsi="Arial Bold" w:cs="Arial"/>
              <w:b/>
              <w:caps/>
            </w:rPr>
          </w:pPr>
        </w:p>
      </w:tc>
    </w:tr>
  </w:tbl>
  <w:p w:rsidR="00623C8C" w:rsidRDefault="00623C8C" w:rsidP="00656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955CB"/>
    <w:multiLevelType w:val="hybridMultilevel"/>
    <w:tmpl w:val="31502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023044"/>
    <w:multiLevelType w:val="multilevel"/>
    <w:tmpl w:val="320E9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2B55554"/>
    <w:multiLevelType w:val="hybridMultilevel"/>
    <w:tmpl w:val="84983E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EC23907"/>
    <w:multiLevelType w:val="multilevel"/>
    <w:tmpl w:val="EB1E7C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20314A1"/>
    <w:multiLevelType w:val="hybridMultilevel"/>
    <w:tmpl w:val="4B86B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FA6666"/>
    <w:multiLevelType w:val="hybridMultilevel"/>
    <w:tmpl w:val="33E443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C231D1"/>
    <w:multiLevelType w:val="hybridMultilevel"/>
    <w:tmpl w:val="1EC6ED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2">
    <w:nsid w:val="4A2D6BA9"/>
    <w:multiLevelType w:val="hybridMultilevel"/>
    <w:tmpl w:val="F484FC2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5870F5A"/>
    <w:multiLevelType w:val="hybridMultilevel"/>
    <w:tmpl w:val="B9BAA9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7"/>
  </w:num>
  <w:num w:numId="3">
    <w:abstractNumId w:val="5"/>
  </w:num>
  <w:num w:numId="4">
    <w:abstractNumId w:val="13"/>
  </w:num>
  <w:num w:numId="5">
    <w:abstractNumId w:val="8"/>
  </w:num>
  <w:num w:numId="6">
    <w:abstractNumId w:val="14"/>
  </w:num>
  <w:num w:numId="7">
    <w:abstractNumId w:val="16"/>
  </w:num>
  <w:num w:numId="8">
    <w:abstractNumId w:val="0"/>
  </w:num>
  <w:num w:numId="9">
    <w:abstractNumId w:val="3"/>
  </w:num>
  <w:num w:numId="10">
    <w:abstractNumId w:val="1"/>
  </w:num>
  <w:num w:numId="11">
    <w:abstractNumId w:val="4"/>
  </w:num>
  <w:num w:numId="12">
    <w:abstractNumId w:val="9"/>
  </w:num>
  <w:num w:numId="13">
    <w:abstractNumId w:val="15"/>
  </w:num>
  <w:num w:numId="14">
    <w:abstractNumId w:val="10"/>
  </w:num>
  <w:num w:numId="15">
    <w:abstractNumId w:val="6"/>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E8"/>
    <w:rsid w:val="00017BC9"/>
    <w:rsid w:val="00023FB9"/>
    <w:rsid w:val="00044595"/>
    <w:rsid w:val="00050F8B"/>
    <w:rsid w:val="00052969"/>
    <w:rsid w:val="0005413B"/>
    <w:rsid w:val="00055B3A"/>
    <w:rsid w:val="00057B0E"/>
    <w:rsid w:val="0006383C"/>
    <w:rsid w:val="00075196"/>
    <w:rsid w:val="00094E6D"/>
    <w:rsid w:val="000955AE"/>
    <w:rsid w:val="000A0634"/>
    <w:rsid w:val="000A5CAC"/>
    <w:rsid w:val="000B002D"/>
    <w:rsid w:val="000B2264"/>
    <w:rsid w:val="000B32E7"/>
    <w:rsid w:val="000B5111"/>
    <w:rsid w:val="000B7DD0"/>
    <w:rsid w:val="000C34CC"/>
    <w:rsid w:val="000C530C"/>
    <w:rsid w:val="000C6F2F"/>
    <w:rsid w:val="000D7BF5"/>
    <w:rsid w:val="000E1BF6"/>
    <w:rsid w:val="000E2527"/>
    <w:rsid w:val="000E59C0"/>
    <w:rsid w:val="000F29F7"/>
    <w:rsid w:val="000F4132"/>
    <w:rsid w:val="000F5278"/>
    <w:rsid w:val="00103203"/>
    <w:rsid w:val="00116A63"/>
    <w:rsid w:val="00122F79"/>
    <w:rsid w:val="00123731"/>
    <w:rsid w:val="00133F68"/>
    <w:rsid w:val="0013597B"/>
    <w:rsid w:val="00140FC9"/>
    <w:rsid w:val="001421FA"/>
    <w:rsid w:val="00151611"/>
    <w:rsid w:val="0016013C"/>
    <w:rsid w:val="0016654E"/>
    <w:rsid w:val="00166692"/>
    <w:rsid w:val="00167FA1"/>
    <w:rsid w:val="00170EF8"/>
    <w:rsid w:val="00171D49"/>
    <w:rsid w:val="001857FE"/>
    <w:rsid w:val="00186387"/>
    <w:rsid w:val="001930F4"/>
    <w:rsid w:val="00193304"/>
    <w:rsid w:val="00195107"/>
    <w:rsid w:val="001A067B"/>
    <w:rsid w:val="001A522E"/>
    <w:rsid w:val="001B366F"/>
    <w:rsid w:val="001C0E71"/>
    <w:rsid w:val="001C34A2"/>
    <w:rsid w:val="001C4ABB"/>
    <w:rsid w:val="001C5404"/>
    <w:rsid w:val="001D08BD"/>
    <w:rsid w:val="001D36B6"/>
    <w:rsid w:val="001E0AE9"/>
    <w:rsid w:val="001E3ACA"/>
    <w:rsid w:val="001E5086"/>
    <w:rsid w:val="001F2365"/>
    <w:rsid w:val="00203D72"/>
    <w:rsid w:val="0020753E"/>
    <w:rsid w:val="002511E6"/>
    <w:rsid w:val="0025176B"/>
    <w:rsid w:val="00262526"/>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7BB"/>
    <w:rsid w:val="002F0A79"/>
    <w:rsid w:val="002F511F"/>
    <w:rsid w:val="002F65BA"/>
    <w:rsid w:val="00307F54"/>
    <w:rsid w:val="003207CC"/>
    <w:rsid w:val="0032191D"/>
    <w:rsid w:val="00321FE8"/>
    <w:rsid w:val="003226D2"/>
    <w:rsid w:val="00326A3C"/>
    <w:rsid w:val="00346FF8"/>
    <w:rsid w:val="00347EFF"/>
    <w:rsid w:val="00357873"/>
    <w:rsid w:val="00370298"/>
    <w:rsid w:val="00380512"/>
    <w:rsid w:val="00383752"/>
    <w:rsid w:val="00384A9A"/>
    <w:rsid w:val="0039128B"/>
    <w:rsid w:val="00391655"/>
    <w:rsid w:val="00393627"/>
    <w:rsid w:val="003939FD"/>
    <w:rsid w:val="00394C98"/>
    <w:rsid w:val="003970C1"/>
    <w:rsid w:val="003A46A9"/>
    <w:rsid w:val="003A51B4"/>
    <w:rsid w:val="003B222D"/>
    <w:rsid w:val="003B33D7"/>
    <w:rsid w:val="003B3B58"/>
    <w:rsid w:val="003C04E9"/>
    <w:rsid w:val="003C2C08"/>
    <w:rsid w:val="003C5914"/>
    <w:rsid w:val="003D202F"/>
    <w:rsid w:val="003D45D8"/>
    <w:rsid w:val="003D4DA6"/>
    <w:rsid w:val="003D7F20"/>
    <w:rsid w:val="003E60BC"/>
    <w:rsid w:val="003F7ABB"/>
    <w:rsid w:val="00406C52"/>
    <w:rsid w:val="00413583"/>
    <w:rsid w:val="0041612B"/>
    <w:rsid w:val="004161B1"/>
    <w:rsid w:val="00430A6F"/>
    <w:rsid w:val="00430BCE"/>
    <w:rsid w:val="00431825"/>
    <w:rsid w:val="00433746"/>
    <w:rsid w:val="004402BD"/>
    <w:rsid w:val="00440902"/>
    <w:rsid w:val="00445781"/>
    <w:rsid w:val="0045580F"/>
    <w:rsid w:val="00464623"/>
    <w:rsid w:val="0047440F"/>
    <w:rsid w:val="004826C8"/>
    <w:rsid w:val="00482B85"/>
    <w:rsid w:val="004A2680"/>
    <w:rsid w:val="004A30B6"/>
    <w:rsid w:val="004A3A7F"/>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72A67"/>
    <w:rsid w:val="0058202F"/>
    <w:rsid w:val="005848AB"/>
    <w:rsid w:val="00584DA2"/>
    <w:rsid w:val="005862F3"/>
    <w:rsid w:val="00587AC3"/>
    <w:rsid w:val="00592B54"/>
    <w:rsid w:val="00596BA1"/>
    <w:rsid w:val="005A0F9E"/>
    <w:rsid w:val="005A6067"/>
    <w:rsid w:val="005A7267"/>
    <w:rsid w:val="005C0E5B"/>
    <w:rsid w:val="005C1008"/>
    <w:rsid w:val="005D5E98"/>
    <w:rsid w:val="005E4CCF"/>
    <w:rsid w:val="005E6063"/>
    <w:rsid w:val="005E7982"/>
    <w:rsid w:val="00606E6A"/>
    <w:rsid w:val="0061091B"/>
    <w:rsid w:val="00613067"/>
    <w:rsid w:val="00620D57"/>
    <w:rsid w:val="006222BD"/>
    <w:rsid w:val="00622B74"/>
    <w:rsid w:val="00623C8C"/>
    <w:rsid w:val="006268F7"/>
    <w:rsid w:val="0063666A"/>
    <w:rsid w:val="00650938"/>
    <w:rsid w:val="00651F5C"/>
    <w:rsid w:val="00652E76"/>
    <w:rsid w:val="00653F1D"/>
    <w:rsid w:val="00656C9D"/>
    <w:rsid w:val="00671A66"/>
    <w:rsid w:val="00676101"/>
    <w:rsid w:val="00682CCF"/>
    <w:rsid w:val="00682F33"/>
    <w:rsid w:val="00692EE1"/>
    <w:rsid w:val="00695397"/>
    <w:rsid w:val="0069563F"/>
    <w:rsid w:val="00697939"/>
    <w:rsid w:val="006A651B"/>
    <w:rsid w:val="006A6C9F"/>
    <w:rsid w:val="006B069A"/>
    <w:rsid w:val="006B6503"/>
    <w:rsid w:val="006C06AC"/>
    <w:rsid w:val="006C167C"/>
    <w:rsid w:val="006C38A1"/>
    <w:rsid w:val="006D14CC"/>
    <w:rsid w:val="006D46D3"/>
    <w:rsid w:val="006F1DD6"/>
    <w:rsid w:val="006F2288"/>
    <w:rsid w:val="00712CED"/>
    <w:rsid w:val="0071634F"/>
    <w:rsid w:val="007166EF"/>
    <w:rsid w:val="00717FB2"/>
    <w:rsid w:val="00721265"/>
    <w:rsid w:val="00733C0B"/>
    <w:rsid w:val="00745FFC"/>
    <w:rsid w:val="00746471"/>
    <w:rsid w:val="00750725"/>
    <w:rsid w:val="00754B55"/>
    <w:rsid w:val="00755DED"/>
    <w:rsid w:val="007637E4"/>
    <w:rsid w:val="00766FA9"/>
    <w:rsid w:val="00772BAA"/>
    <w:rsid w:val="00773928"/>
    <w:rsid w:val="007912BE"/>
    <w:rsid w:val="007A446A"/>
    <w:rsid w:val="007B053D"/>
    <w:rsid w:val="007B2051"/>
    <w:rsid w:val="007B6760"/>
    <w:rsid w:val="007C0FF9"/>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57163"/>
    <w:rsid w:val="00860765"/>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044AD"/>
    <w:rsid w:val="00A132C6"/>
    <w:rsid w:val="00A13A64"/>
    <w:rsid w:val="00A34E8C"/>
    <w:rsid w:val="00A375C7"/>
    <w:rsid w:val="00A4031A"/>
    <w:rsid w:val="00A4400E"/>
    <w:rsid w:val="00A44E27"/>
    <w:rsid w:val="00A74133"/>
    <w:rsid w:val="00A84CD3"/>
    <w:rsid w:val="00A9008C"/>
    <w:rsid w:val="00AA3E86"/>
    <w:rsid w:val="00AB1A42"/>
    <w:rsid w:val="00AB5559"/>
    <w:rsid w:val="00AB7113"/>
    <w:rsid w:val="00AC04AD"/>
    <w:rsid w:val="00AD2332"/>
    <w:rsid w:val="00AD2E46"/>
    <w:rsid w:val="00AD2E8B"/>
    <w:rsid w:val="00AE2B7A"/>
    <w:rsid w:val="00AE6B12"/>
    <w:rsid w:val="00AE7F70"/>
    <w:rsid w:val="00B02BB0"/>
    <w:rsid w:val="00B12E2C"/>
    <w:rsid w:val="00B14CD3"/>
    <w:rsid w:val="00B20C84"/>
    <w:rsid w:val="00B21BD5"/>
    <w:rsid w:val="00B3044A"/>
    <w:rsid w:val="00B324E6"/>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BE2E7E"/>
    <w:rsid w:val="00C00CD9"/>
    <w:rsid w:val="00C01C1A"/>
    <w:rsid w:val="00C02A6D"/>
    <w:rsid w:val="00C21C64"/>
    <w:rsid w:val="00C2394E"/>
    <w:rsid w:val="00C272A2"/>
    <w:rsid w:val="00C45D80"/>
    <w:rsid w:val="00C51328"/>
    <w:rsid w:val="00C56E0E"/>
    <w:rsid w:val="00C67FAD"/>
    <w:rsid w:val="00C723E2"/>
    <w:rsid w:val="00C75BE0"/>
    <w:rsid w:val="00C837E5"/>
    <w:rsid w:val="00C92BC5"/>
    <w:rsid w:val="00C95361"/>
    <w:rsid w:val="00CA4438"/>
    <w:rsid w:val="00CC10B8"/>
    <w:rsid w:val="00CD2F0C"/>
    <w:rsid w:val="00CD4391"/>
    <w:rsid w:val="00CE1297"/>
    <w:rsid w:val="00CF6B08"/>
    <w:rsid w:val="00D10ADC"/>
    <w:rsid w:val="00D1320C"/>
    <w:rsid w:val="00D13686"/>
    <w:rsid w:val="00D13FCD"/>
    <w:rsid w:val="00D2524E"/>
    <w:rsid w:val="00D268B2"/>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4EAD"/>
    <w:rsid w:val="00D7501B"/>
    <w:rsid w:val="00D8523C"/>
    <w:rsid w:val="00DA0B0C"/>
    <w:rsid w:val="00DA2C3D"/>
    <w:rsid w:val="00DA2F4F"/>
    <w:rsid w:val="00DA651C"/>
    <w:rsid w:val="00DA6E3F"/>
    <w:rsid w:val="00DA71EF"/>
    <w:rsid w:val="00DA72DE"/>
    <w:rsid w:val="00DD4CAE"/>
    <w:rsid w:val="00DD6ABD"/>
    <w:rsid w:val="00DD71F6"/>
    <w:rsid w:val="00DE3974"/>
    <w:rsid w:val="00DF32B7"/>
    <w:rsid w:val="00DF7B59"/>
    <w:rsid w:val="00E029F2"/>
    <w:rsid w:val="00E15966"/>
    <w:rsid w:val="00E26A11"/>
    <w:rsid w:val="00E3320D"/>
    <w:rsid w:val="00E40789"/>
    <w:rsid w:val="00E40FE0"/>
    <w:rsid w:val="00E56DCB"/>
    <w:rsid w:val="00E628B9"/>
    <w:rsid w:val="00E63239"/>
    <w:rsid w:val="00E636A3"/>
    <w:rsid w:val="00E70772"/>
    <w:rsid w:val="00E71F5F"/>
    <w:rsid w:val="00E72FD1"/>
    <w:rsid w:val="00E759DD"/>
    <w:rsid w:val="00E80A08"/>
    <w:rsid w:val="00E91D16"/>
    <w:rsid w:val="00E94A41"/>
    <w:rsid w:val="00E965F2"/>
    <w:rsid w:val="00EA58D1"/>
    <w:rsid w:val="00EA6528"/>
    <w:rsid w:val="00EA765A"/>
    <w:rsid w:val="00EB379E"/>
    <w:rsid w:val="00EF6619"/>
    <w:rsid w:val="00F067F9"/>
    <w:rsid w:val="00F06F73"/>
    <w:rsid w:val="00F073E8"/>
    <w:rsid w:val="00F10236"/>
    <w:rsid w:val="00F31FEA"/>
    <w:rsid w:val="00F3799C"/>
    <w:rsid w:val="00F43819"/>
    <w:rsid w:val="00F51BB0"/>
    <w:rsid w:val="00F569FC"/>
    <w:rsid w:val="00F60BE1"/>
    <w:rsid w:val="00F65C79"/>
    <w:rsid w:val="00F65E0F"/>
    <w:rsid w:val="00F66DDC"/>
    <w:rsid w:val="00F673C3"/>
    <w:rsid w:val="00F94F2C"/>
    <w:rsid w:val="00F95225"/>
    <w:rsid w:val="00FB327A"/>
    <w:rsid w:val="00FB4317"/>
    <w:rsid w:val="00FD01B1"/>
    <w:rsid w:val="00FE2974"/>
    <w:rsid w:val="00FE3D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paragraph" w:styleId="Heading1">
    <w:name w:val="heading 1"/>
    <w:basedOn w:val="Normal"/>
    <w:next w:val="Normal"/>
    <w:link w:val="Heading1Char"/>
    <w:uiPriority w:val="9"/>
    <w:qFormat/>
    <w:rsid w:val="00733C0B"/>
    <w:pPr>
      <w:keepNext/>
      <w:keepLines/>
      <w:numPr>
        <w:numId w:val="16"/>
      </w:numPr>
      <w:spacing w:before="240" w:after="240"/>
      <w:outlineLvl w:val="0"/>
    </w:pPr>
    <w:rPr>
      <w:rFonts w:ascii="Arial" w:eastAsiaTheme="majorEastAsia" w:hAnsi="Arial" w:cstheme="majorBidi"/>
      <w:b/>
      <w:color w:val="365F91" w:themeColor="accent1" w:themeShade="BF"/>
      <w:szCs w:val="32"/>
      <w:lang w:eastAsia="en-US"/>
    </w:rPr>
  </w:style>
  <w:style w:type="paragraph" w:styleId="Heading2">
    <w:name w:val="heading 2"/>
    <w:basedOn w:val="Normal"/>
    <w:next w:val="Normal"/>
    <w:link w:val="Heading2Char"/>
    <w:uiPriority w:val="9"/>
    <w:unhideWhenUsed/>
    <w:qFormat/>
    <w:rsid w:val="00733C0B"/>
    <w:pPr>
      <w:keepNext/>
      <w:keepLines/>
      <w:numPr>
        <w:ilvl w:val="1"/>
        <w:numId w:val="16"/>
      </w:numPr>
      <w:spacing w:before="240" w:after="240"/>
      <w:outlineLvl w:val="1"/>
    </w:pPr>
    <w:rPr>
      <w:rFonts w:ascii="Arial" w:eastAsiaTheme="majorEastAsia" w:hAnsi="Arial" w:cstheme="majorBidi"/>
      <w:b/>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733C0B"/>
    <w:pPr>
      <w:keepNext/>
      <w:keepLines/>
      <w:numPr>
        <w:ilvl w:val="2"/>
        <w:numId w:val="16"/>
      </w:numPr>
      <w:spacing w:before="240" w:after="240"/>
      <w:outlineLvl w:val="2"/>
    </w:pPr>
    <w:rPr>
      <w:rFonts w:ascii="Arial" w:eastAsiaTheme="majorEastAsia" w:hAnsi="Arial" w:cstheme="majorBidi"/>
      <w:b/>
      <w:color w:val="365F91" w:themeColor="accent1" w:themeShade="BF"/>
      <w:sz w:val="22"/>
      <w:lang w:eastAsia="en-US"/>
    </w:rPr>
  </w:style>
  <w:style w:type="paragraph" w:styleId="Heading4">
    <w:name w:val="heading 4"/>
    <w:basedOn w:val="Normal"/>
    <w:next w:val="Normal"/>
    <w:link w:val="Heading4Char"/>
    <w:uiPriority w:val="9"/>
    <w:semiHidden/>
    <w:unhideWhenUsed/>
    <w:qFormat/>
    <w:rsid w:val="00733C0B"/>
    <w:pPr>
      <w:keepNext/>
      <w:keepLines/>
      <w:numPr>
        <w:ilvl w:val="3"/>
        <w:numId w:val="16"/>
      </w:numPr>
      <w:spacing w:before="40"/>
      <w:outlineLvl w:val="3"/>
    </w:pPr>
    <w:rPr>
      <w:rFonts w:asciiTheme="majorHAnsi" w:eastAsiaTheme="majorEastAsia" w:hAnsiTheme="majorHAnsi" w:cstheme="majorBidi"/>
      <w:i/>
      <w:iCs/>
      <w:color w:val="365F91" w:themeColor="accent1" w:themeShade="BF"/>
      <w:sz w:val="22"/>
      <w:szCs w:val="22"/>
      <w:lang w:eastAsia="en-US"/>
    </w:rPr>
  </w:style>
  <w:style w:type="paragraph" w:styleId="Heading5">
    <w:name w:val="heading 5"/>
    <w:basedOn w:val="Normal"/>
    <w:next w:val="Normal"/>
    <w:link w:val="Heading5Char"/>
    <w:uiPriority w:val="9"/>
    <w:semiHidden/>
    <w:unhideWhenUsed/>
    <w:qFormat/>
    <w:rsid w:val="00733C0B"/>
    <w:pPr>
      <w:keepNext/>
      <w:keepLines/>
      <w:numPr>
        <w:ilvl w:val="4"/>
        <w:numId w:val="16"/>
      </w:numPr>
      <w:spacing w:before="40"/>
      <w:outlineLvl w:val="4"/>
    </w:pPr>
    <w:rPr>
      <w:rFonts w:asciiTheme="majorHAnsi" w:eastAsiaTheme="majorEastAsia" w:hAnsiTheme="majorHAnsi" w:cstheme="majorBidi"/>
      <w:color w:val="365F91" w:themeColor="accent1" w:themeShade="BF"/>
      <w:sz w:val="22"/>
      <w:szCs w:val="22"/>
      <w:lang w:eastAsia="en-US"/>
    </w:rPr>
  </w:style>
  <w:style w:type="paragraph" w:styleId="Heading6">
    <w:name w:val="heading 6"/>
    <w:basedOn w:val="Normal"/>
    <w:next w:val="Normal"/>
    <w:link w:val="Heading6Char"/>
    <w:uiPriority w:val="9"/>
    <w:semiHidden/>
    <w:unhideWhenUsed/>
    <w:qFormat/>
    <w:rsid w:val="00733C0B"/>
    <w:pPr>
      <w:keepNext/>
      <w:keepLines/>
      <w:numPr>
        <w:ilvl w:val="5"/>
        <w:numId w:val="16"/>
      </w:numPr>
      <w:spacing w:before="40"/>
      <w:outlineLvl w:val="5"/>
    </w:pPr>
    <w:rPr>
      <w:rFonts w:asciiTheme="majorHAnsi" w:eastAsiaTheme="majorEastAsia" w:hAnsiTheme="majorHAnsi" w:cstheme="majorBidi"/>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733C0B"/>
    <w:pPr>
      <w:keepNext/>
      <w:keepLines/>
      <w:numPr>
        <w:ilvl w:val="6"/>
        <w:numId w:val="16"/>
      </w:numPr>
      <w:spacing w:before="40"/>
      <w:outlineLvl w:val="6"/>
    </w:pPr>
    <w:rPr>
      <w:rFonts w:asciiTheme="majorHAnsi" w:eastAsiaTheme="majorEastAsia" w:hAnsiTheme="majorHAnsi" w:cstheme="majorBidi"/>
      <w:i/>
      <w:iCs/>
      <w:color w:val="243F60" w:themeColor="accent1" w:themeShade="7F"/>
      <w:sz w:val="22"/>
      <w:szCs w:val="22"/>
      <w:lang w:eastAsia="en-US"/>
    </w:rPr>
  </w:style>
  <w:style w:type="paragraph" w:styleId="Heading8">
    <w:name w:val="heading 8"/>
    <w:basedOn w:val="Normal"/>
    <w:next w:val="Normal"/>
    <w:link w:val="Heading8Char"/>
    <w:uiPriority w:val="9"/>
    <w:semiHidden/>
    <w:unhideWhenUsed/>
    <w:qFormat/>
    <w:rsid w:val="00733C0B"/>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733C0B"/>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99"/>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Default">
    <w:name w:val="Default"/>
    <w:rsid w:val="00C92BC5"/>
    <w:pPr>
      <w:autoSpaceDE w:val="0"/>
      <w:autoSpaceDN w:val="0"/>
      <w:adjustRightInd w:val="0"/>
    </w:pPr>
    <w:rPr>
      <w:rFonts w:ascii="Calibri" w:hAnsi="Calibri" w:cs="Calibri"/>
      <w:color w:val="000000"/>
      <w:sz w:val="24"/>
      <w:szCs w:val="24"/>
      <w:lang w:eastAsia="en-AU"/>
    </w:rPr>
  </w:style>
  <w:style w:type="character" w:customStyle="1" w:styleId="Heading1Char">
    <w:name w:val="Heading 1 Char"/>
    <w:basedOn w:val="DefaultParagraphFont"/>
    <w:link w:val="Heading1"/>
    <w:uiPriority w:val="9"/>
    <w:rsid w:val="00733C0B"/>
    <w:rPr>
      <w:rFonts w:ascii="Arial" w:eastAsiaTheme="majorEastAsia" w:hAnsi="Arial" w:cstheme="majorBidi"/>
      <w:b/>
      <w:color w:val="365F91" w:themeColor="accent1" w:themeShade="BF"/>
      <w:sz w:val="24"/>
      <w:szCs w:val="32"/>
    </w:rPr>
  </w:style>
  <w:style w:type="character" w:customStyle="1" w:styleId="Heading2Char">
    <w:name w:val="Heading 2 Char"/>
    <w:basedOn w:val="DefaultParagraphFont"/>
    <w:link w:val="Heading2"/>
    <w:uiPriority w:val="9"/>
    <w:rsid w:val="00733C0B"/>
    <w:rPr>
      <w:rFonts w:ascii="Arial" w:eastAsiaTheme="majorEastAsia" w:hAnsi="Arial" w:cstheme="majorBidi"/>
      <w:b/>
      <w:color w:val="365F91" w:themeColor="accent1" w:themeShade="BF"/>
      <w:sz w:val="26"/>
      <w:szCs w:val="26"/>
    </w:rPr>
  </w:style>
  <w:style w:type="character" w:customStyle="1" w:styleId="Heading3Char">
    <w:name w:val="Heading 3 Char"/>
    <w:basedOn w:val="DefaultParagraphFont"/>
    <w:link w:val="Heading3"/>
    <w:uiPriority w:val="9"/>
    <w:rsid w:val="00733C0B"/>
    <w:rPr>
      <w:rFonts w:ascii="Arial" w:eastAsiaTheme="majorEastAsia" w:hAnsi="Arial" w:cstheme="majorBidi"/>
      <w:b/>
      <w:color w:val="365F91" w:themeColor="accent1" w:themeShade="BF"/>
      <w:sz w:val="22"/>
      <w:szCs w:val="24"/>
    </w:rPr>
  </w:style>
  <w:style w:type="character" w:customStyle="1" w:styleId="Heading4Char">
    <w:name w:val="Heading 4 Char"/>
    <w:basedOn w:val="DefaultParagraphFont"/>
    <w:link w:val="Heading4"/>
    <w:uiPriority w:val="9"/>
    <w:semiHidden/>
    <w:rsid w:val="00733C0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33C0B"/>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33C0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33C0B"/>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33C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3C0B"/>
    <w:rPr>
      <w:rFonts w:asciiTheme="majorHAnsi" w:eastAsiaTheme="majorEastAsia" w:hAnsiTheme="majorHAnsi" w:cstheme="majorBidi"/>
      <w:i/>
      <w:iCs/>
      <w:color w:val="272727" w:themeColor="text1" w:themeTint="D8"/>
      <w:sz w:val="21"/>
      <w:szCs w:val="21"/>
    </w:rPr>
  </w:style>
  <w:style w:type="character" w:customStyle="1" w:styleId="DWHlink">
    <w:name w:val="DWHlink"/>
    <w:basedOn w:val="DefaultParagraphFont"/>
    <w:rsid w:val="00DF7B59"/>
    <w:rPr>
      <w:rFonts w:ascii="Arial" w:hAnsi="Arial" w:cs="Arial"/>
      <w:b/>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paragraph" w:styleId="Heading1">
    <w:name w:val="heading 1"/>
    <w:basedOn w:val="Normal"/>
    <w:next w:val="Normal"/>
    <w:link w:val="Heading1Char"/>
    <w:uiPriority w:val="9"/>
    <w:qFormat/>
    <w:rsid w:val="00733C0B"/>
    <w:pPr>
      <w:keepNext/>
      <w:keepLines/>
      <w:numPr>
        <w:numId w:val="16"/>
      </w:numPr>
      <w:spacing w:before="240" w:after="240"/>
      <w:outlineLvl w:val="0"/>
    </w:pPr>
    <w:rPr>
      <w:rFonts w:ascii="Arial" w:eastAsiaTheme="majorEastAsia" w:hAnsi="Arial" w:cstheme="majorBidi"/>
      <w:b/>
      <w:color w:val="365F91" w:themeColor="accent1" w:themeShade="BF"/>
      <w:szCs w:val="32"/>
      <w:lang w:eastAsia="en-US"/>
    </w:rPr>
  </w:style>
  <w:style w:type="paragraph" w:styleId="Heading2">
    <w:name w:val="heading 2"/>
    <w:basedOn w:val="Normal"/>
    <w:next w:val="Normal"/>
    <w:link w:val="Heading2Char"/>
    <w:uiPriority w:val="9"/>
    <w:unhideWhenUsed/>
    <w:qFormat/>
    <w:rsid w:val="00733C0B"/>
    <w:pPr>
      <w:keepNext/>
      <w:keepLines/>
      <w:numPr>
        <w:ilvl w:val="1"/>
        <w:numId w:val="16"/>
      </w:numPr>
      <w:spacing w:before="240" w:after="240"/>
      <w:outlineLvl w:val="1"/>
    </w:pPr>
    <w:rPr>
      <w:rFonts w:ascii="Arial" w:eastAsiaTheme="majorEastAsia" w:hAnsi="Arial" w:cstheme="majorBidi"/>
      <w:b/>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733C0B"/>
    <w:pPr>
      <w:keepNext/>
      <w:keepLines/>
      <w:numPr>
        <w:ilvl w:val="2"/>
        <w:numId w:val="16"/>
      </w:numPr>
      <w:spacing w:before="240" w:after="240"/>
      <w:outlineLvl w:val="2"/>
    </w:pPr>
    <w:rPr>
      <w:rFonts w:ascii="Arial" w:eastAsiaTheme="majorEastAsia" w:hAnsi="Arial" w:cstheme="majorBidi"/>
      <w:b/>
      <w:color w:val="365F91" w:themeColor="accent1" w:themeShade="BF"/>
      <w:sz w:val="22"/>
      <w:lang w:eastAsia="en-US"/>
    </w:rPr>
  </w:style>
  <w:style w:type="paragraph" w:styleId="Heading4">
    <w:name w:val="heading 4"/>
    <w:basedOn w:val="Normal"/>
    <w:next w:val="Normal"/>
    <w:link w:val="Heading4Char"/>
    <w:uiPriority w:val="9"/>
    <w:semiHidden/>
    <w:unhideWhenUsed/>
    <w:qFormat/>
    <w:rsid w:val="00733C0B"/>
    <w:pPr>
      <w:keepNext/>
      <w:keepLines/>
      <w:numPr>
        <w:ilvl w:val="3"/>
        <w:numId w:val="16"/>
      </w:numPr>
      <w:spacing w:before="40"/>
      <w:outlineLvl w:val="3"/>
    </w:pPr>
    <w:rPr>
      <w:rFonts w:asciiTheme="majorHAnsi" w:eastAsiaTheme="majorEastAsia" w:hAnsiTheme="majorHAnsi" w:cstheme="majorBidi"/>
      <w:i/>
      <w:iCs/>
      <w:color w:val="365F91" w:themeColor="accent1" w:themeShade="BF"/>
      <w:sz w:val="22"/>
      <w:szCs w:val="22"/>
      <w:lang w:eastAsia="en-US"/>
    </w:rPr>
  </w:style>
  <w:style w:type="paragraph" w:styleId="Heading5">
    <w:name w:val="heading 5"/>
    <w:basedOn w:val="Normal"/>
    <w:next w:val="Normal"/>
    <w:link w:val="Heading5Char"/>
    <w:uiPriority w:val="9"/>
    <w:semiHidden/>
    <w:unhideWhenUsed/>
    <w:qFormat/>
    <w:rsid w:val="00733C0B"/>
    <w:pPr>
      <w:keepNext/>
      <w:keepLines/>
      <w:numPr>
        <w:ilvl w:val="4"/>
        <w:numId w:val="16"/>
      </w:numPr>
      <w:spacing w:before="40"/>
      <w:outlineLvl w:val="4"/>
    </w:pPr>
    <w:rPr>
      <w:rFonts w:asciiTheme="majorHAnsi" w:eastAsiaTheme="majorEastAsia" w:hAnsiTheme="majorHAnsi" w:cstheme="majorBidi"/>
      <w:color w:val="365F91" w:themeColor="accent1" w:themeShade="BF"/>
      <w:sz w:val="22"/>
      <w:szCs w:val="22"/>
      <w:lang w:eastAsia="en-US"/>
    </w:rPr>
  </w:style>
  <w:style w:type="paragraph" w:styleId="Heading6">
    <w:name w:val="heading 6"/>
    <w:basedOn w:val="Normal"/>
    <w:next w:val="Normal"/>
    <w:link w:val="Heading6Char"/>
    <w:uiPriority w:val="9"/>
    <w:semiHidden/>
    <w:unhideWhenUsed/>
    <w:qFormat/>
    <w:rsid w:val="00733C0B"/>
    <w:pPr>
      <w:keepNext/>
      <w:keepLines/>
      <w:numPr>
        <w:ilvl w:val="5"/>
        <w:numId w:val="16"/>
      </w:numPr>
      <w:spacing w:before="40"/>
      <w:outlineLvl w:val="5"/>
    </w:pPr>
    <w:rPr>
      <w:rFonts w:asciiTheme="majorHAnsi" w:eastAsiaTheme="majorEastAsia" w:hAnsiTheme="majorHAnsi" w:cstheme="majorBidi"/>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733C0B"/>
    <w:pPr>
      <w:keepNext/>
      <w:keepLines/>
      <w:numPr>
        <w:ilvl w:val="6"/>
        <w:numId w:val="16"/>
      </w:numPr>
      <w:spacing w:before="40"/>
      <w:outlineLvl w:val="6"/>
    </w:pPr>
    <w:rPr>
      <w:rFonts w:asciiTheme="majorHAnsi" w:eastAsiaTheme="majorEastAsia" w:hAnsiTheme="majorHAnsi" w:cstheme="majorBidi"/>
      <w:i/>
      <w:iCs/>
      <w:color w:val="243F60" w:themeColor="accent1" w:themeShade="7F"/>
      <w:sz w:val="22"/>
      <w:szCs w:val="22"/>
      <w:lang w:eastAsia="en-US"/>
    </w:rPr>
  </w:style>
  <w:style w:type="paragraph" w:styleId="Heading8">
    <w:name w:val="heading 8"/>
    <w:basedOn w:val="Normal"/>
    <w:next w:val="Normal"/>
    <w:link w:val="Heading8Char"/>
    <w:uiPriority w:val="9"/>
    <w:semiHidden/>
    <w:unhideWhenUsed/>
    <w:qFormat/>
    <w:rsid w:val="00733C0B"/>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733C0B"/>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99"/>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Default">
    <w:name w:val="Default"/>
    <w:rsid w:val="00C92BC5"/>
    <w:pPr>
      <w:autoSpaceDE w:val="0"/>
      <w:autoSpaceDN w:val="0"/>
      <w:adjustRightInd w:val="0"/>
    </w:pPr>
    <w:rPr>
      <w:rFonts w:ascii="Calibri" w:hAnsi="Calibri" w:cs="Calibri"/>
      <w:color w:val="000000"/>
      <w:sz w:val="24"/>
      <w:szCs w:val="24"/>
      <w:lang w:eastAsia="en-AU"/>
    </w:rPr>
  </w:style>
  <w:style w:type="character" w:customStyle="1" w:styleId="Heading1Char">
    <w:name w:val="Heading 1 Char"/>
    <w:basedOn w:val="DefaultParagraphFont"/>
    <w:link w:val="Heading1"/>
    <w:uiPriority w:val="9"/>
    <w:rsid w:val="00733C0B"/>
    <w:rPr>
      <w:rFonts w:ascii="Arial" w:eastAsiaTheme="majorEastAsia" w:hAnsi="Arial" w:cstheme="majorBidi"/>
      <w:b/>
      <w:color w:val="365F91" w:themeColor="accent1" w:themeShade="BF"/>
      <w:sz w:val="24"/>
      <w:szCs w:val="32"/>
    </w:rPr>
  </w:style>
  <w:style w:type="character" w:customStyle="1" w:styleId="Heading2Char">
    <w:name w:val="Heading 2 Char"/>
    <w:basedOn w:val="DefaultParagraphFont"/>
    <w:link w:val="Heading2"/>
    <w:uiPriority w:val="9"/>
    <w:rsid w:val="00733C0B"/>
    <w:rPr>
      <w:rFonts w:ascii="Arial" w:eastAsiaTheme="majorEastAsia" w:hAnsi="Arial" w:cstheme="majorBidi"/>
      <w:b/>
      <w:color w:val="365F91" w:themeColor="accent1" w:themeShade="BF"/>
      <w:sz w:val="26"/>
      <w:szCs w:val="26"/>
    </w:rPr>
  </w:style>
  <w:style w:type="character" w:customStyle="1" w:styleId="Heading3Char">
    <w:name w:val="Heading 3 Char"/>
    <w:basedOn w:val="DefaultParagraphFont"/>
    <w:link w:val="Heading3"/>
    <w:uiPriority w:val="9"/>
    <w:rsid w:val="00733C0B"/>
    <w:rPr>
      <w:rFonts w:ascii="Arial" w:eastAsiaTheme="majorEastAsia" w:hAnsi="Arial" w:cstheme="majorBidi"/>
      <w:b/>
      <w:color w:val="365F91" w:themeColor="accent1" w:themeShade="BF"/>
      <w:sz w:val="22"/>
      <w:szCs w:val="24"/>
    </w:rPr>
  </w:style>
  <w:style w:type="character" w:customStyle="1" w:styleId="Heading4Char">
    <w:name w:val="Heading 4 Char"/>
    <w:basedOn w:val="DefaultParagraphFont"/>
    <w:link w:val="Heading4"/>
    <w:uiPriority w:val="9"/>
    <w:semiHidden/>
    <w:rsid w:val="00733C0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33C0B"/>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33C0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33C0B"/>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33C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3C0B"/>
    <w:rPr>
      <w:rFonts w:asciiTheme="majorHAnsi" w:eastAsiaTheme="majorEastAsia" w:hAnsiTheme="majorHAnsi" w:cstheme="majorBidi"/>
      <w:i/>
      <w:iCs/>
      <w:color w:val="272727" w:themeColor="text1" w:themeTint="D8"/>
      <w:sz w:val="21"/>
      <w:szCs w:val="21"/>
    </w:rPr>
  </w:style>
  <w:style w:type="character" w:customStyle="1" w:styleId="DWHlink">
    <w:name w:val="DWHlink"/>
    <w:basedOn w:val="DefaultParagraphFont"/>
    <w:rsid w:val="00DF7B59"/>
    <w:rPr>
      <w:rFonts w:ascii="Arial" w:hAnsi="Arial" w:cs="Arial"/>
      <w:b/>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scenzo\AppData\Local\Microsoft\Windows\Temporary%20Internet%20Files\Content.IE5\85WBNS4Q\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C000-A041-4277-9760-A6614E31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3</TotalTime>
  <Pages>5</Pages>
  <Words>1652</Words>
  <Characters>9208</Characters>
  <Application>Microsoft Office Word</Application>
  <DocSecurity>0</DocSecurity>
  <Lines>248</Lines>
  <Paragraphs>92</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10794</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Chantelle D'Ascenzo</dc:creator>
  <cp:lastModifiedBy>Bernadette Pinto</cp:lastModifiedBy>
  <cp:revision>4</cp:revision>
  <cp:lastPrinted>2020-06-29T07:46:00Z</cp:lastPrinted>
  <dcterms:created xsi:type="dcterms:W3CDTF">2020-06-16T06:00:00Z</dcterms:created>
  <dcterms:modified xsi:type="dcterms:W3CDTF">2020-06-29T07:46:00Z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