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65A7" w14:textId="138DDD72" w:rsidR="00634A09" w:rsidRPr="00A24C01" w:rsidRDefault="0076320D" w:rsidP="00634A09">
      <w:pPr>
        <w:pStyle w:val="ZoningHeader"/>
        <w:rPr>
          <w:b/>
          <w:sz w:val="48"/>
          <w:szCs w:val="48"/>
        </w:rPr>
      </w:pPr>
      <w:r w:rsidRPr="00A24C01">
        <w:rPr>
          <w:b/>
          <w:sz w:val="48"/>
          <w:szCs w:val="48"/>
        </w:rPr>
        <w:t>ANCILLARY DWELLINGS</w:t>
      </w:r>
    </w:p>
    <w:p w14:paraId="0757CA0D" w14:textId="77777777" w:rsidR="008C06F6" w:rsidRPr="008C06F6" w:rsidRDefault="008C06F6" w:rsidP="00634A09">
      <w:pPr>
        <w:pStyle w:val="ZoningHeader"/>
        <w:rPr>
          <w:b/>
          <w:sz w:val="24"/>
          <w:szCs w:val="24"/>
        </w:rPr>
      </w:pPr>
    </w:p>
    <w:p w14:paraId="1160D81F" w14:textId="1982107A" w:rsidR="001A3060" w:rsidRDefault="00634A09" w:rsidP="00634A09">
      <w:pPr>
        <w:pStyle w:val="Disclaimer"/>
        <w:rPr>
          <w:sz w:val="24"/>
          <w:szCs w:val="24"/>
        </w:rPr>
      </w:pPr>
      <w:r w:rsidRPr="00634A09">
        <w:rPr>
          <w:sz w:val="24"/>
          <w:szCs w:val="24"/>
        </w:rPr>
        <w:t>Planning Information Sheet</w:t>
      </w:r>
    </w:p>
    <w:p w14:paraId="3CF93060" w14:textId="77777777" w:rsidR="00634A09" w:rsidRDefault="00634A09" w:rsidP="00634A09">
      <w:pPr>
        <w:pStyle w:val="Disclaimer"/>
        <w:rPr>
          <w:sz w:val="24"/>
          <w:szCs w:val="24"/>
        </w:rPr>
      </w:pPr>
    </w:p>
    <w:p w14:paraId="396F34C4" w14:textId="4DFAC885" w:rsidR="00634A09" w:rsidRPr="00000DA5" w:rsidRDefault="0076320D" w:rsidP="00000DA5">
      <w:pPr>
        <w:pStyle w:val="Disclaimer"/>
        <w:pBdr>
          <w:top w:val="single" w:sz="12" w:space="1" w:color="auto"/>
          <w:bottom w:val="single" w:sz="12" w:space="1" w:color="auto"/>
        </w:pBdr>
        <w:rPr>
          <w:i w:val="0"/>
          <w:sz w:val="24"/>
          <w:szCs w:val="24"/>
        </w:rPr>
      </w:pPr>
      <w:r>
        <w:rPr>
          <w:i w:val="0"/>
          <w:sz w:val="24"/>
          <w:szCs w:val="24"/>
        </w:rPr>
        <w:t>WHAT IS AN ANCILLARY DWELLING?</w:t>
      </w:r>
    </w:p>
    <w:p w14:paraId="33F0D9BA" w14:textId="77777777" w:rsidR="0076320D" w:rsidRPr="0076320D" w:rsidRDefault="0076320D" w:rsidP="0076320D">
      <w:pPr>
        <w:autoSpaceDE w:val="0"/>
        <w:autoSpaceDN w:val="0"/>
        <w:adjustRightInd w:val="0"/>
        <w:spacing w:after="0" w:line="240" w:lineRule="auto"/>
        <w:rPr>
          <w:rFonts w:ascii="Arial" w:eastAsiaTheme="minorEastAsia" w:hAnsi="Arial" w:cs="Arial"/>
          <w:color w:val="000000"/>
          <w:sz w:val="24"/>
          <w:szCs w:val="24"/>
          <w:lang w:eastAsia="en-US"/>
        </w:rPr>
      </w:pPr>
    </w:p>
    <w:p w14:paraId="6CB28249" w14:textId="77777777" w:rsidR="00B973F9" w:rsidRDefault="0076320D" w:rsidP="0076320D">
      <w:pPr>
        <w:pStyle w:val="Disclaimer"/>
        <w:jc w:val="both"/>
        <w:rPr>
          <w:rFonts w:eastAsiaTheme="minorEastAsia"/>
          <w:b w:val="0"/>
          <w:i w:val="0"/>
          <w:color w:val="4A442A" w:themeColor="background2" w:themeShade="40"/>
          <w:sz w:val="24"/>
          <w:szCs w:val="24"/>
          <w:lang w:eastAsia="en-US"/>
        </w:rPr>
      </w:pPr>
      <w:r w:rsidRPr="003815D9">
        <w:rPr>
          <w:rFonts w:eastAsiaTheme="minorEastAsia"/>
          <w:b w:val="0"/>
          <w:i w:val="0"/>
          <w:color w:val="4A442A" w:themeColor="background2" w:themeShade="40"/>
          <w:sz w:val="24"/>
          <w:szCs w:val="24"/>
          <w:lang w:eastAsia="en-US"/>
        </w:rPr>
        <w:t>An Ancillary Dwelling, sometimes referred to as a granny flat, is essentially an independent dwelling, which may or may not be physically attached</w:t>
      </w:r>
      <w:r w:rsidR="00B973F9">
        <w:rPr>
          <w:rFonts w:eastAsiaTheme="minorEastAsia"/>
          <w:b w:val="0"/>
          <w:i w:val="0"/>
          <w:color w:val="4A442A" w:themeColor="background2" w:themeShade="40"/>
          <w:sz w:val="24"/>
          <w:szCs w:val="24"/>
          <w:lang w:eastAsia="en-US"/>
        </w:rPr>
        <w:t xml:space="preserve"> on the same lot as another dwelling. These include</w:t>
      </w:r>
      <w:r w:rsidRPr="003815D9">
        <w:rPr>
          <w:rFonts w:eastAsiaTheme="minorEastAsia"/>
          <w:b w:val="0"/>
          <w:i w:val="0"/>
          <w:color w:val="4A442A" w:themeColor="background2" w:themeShade="40"/>
          <w:sz w:val="24"/>
          <w:szCs w:val="24"/>
          <w:lang w:eastAsia="en-US"/>
        </w:rPr>
        <w:t xml:space="preserve">; </w:t>
      </w:r>
    </w:p>
    <w:p w14:paraId="2FB93D55" w14:textId="77777777" w:rsidR="00B973F9" w:rsidRDefault="0076320D" w:rsidP="00B973F9">
      <w:pPr>
        <w:pStyle w:val="Disclaimer"/>
        <w:numPr>
          <w:ilvl w:val="0"/>
          <w:numId w:val="15"/>
        </w:numPr>
        <w:jc w:val="both"/>
        <w:rPr>
          <w:rFonts w:eastAsiaTheme="minorEastAsia"/>
          <w:b w:val="0"/>
          <w:i w:val="0"/>
          <w:color w:val="4A442A" w:themeColor="background2" w:themeShade="40"/>
          <w:sz w:val="24"/>
          <w:szCs w:val="24"/>
          <w:lang w:eastAsia="en-US"/>
        </w:rPr>
      </w:pPr>
      <w:r w:rsidRPr="003815D9">
        <w:rPr>
          <w:rFonts w:eastAsiaTheme="minorEastAsia"/>
          <w:b w:val="0"/>
          <w:i w:val="0"/>
          <w:color w:val="4A442A" w:themeColor="background2" w:themeShade="40"/>
          <w:sz w:val="24"/>
          <w:szCs w:val="24"/>
          <w:lang w:eastAsia="en-US"/>
        </w:rPr>
        <w:t xml:space="preserve">studios above garages, </w:t>
      </w:r>
    </w:p>
    <w:p w14:paraId="7A26CA8F" w14:textId="77777777" w:rsidR="00B973F9" w:rsidRDefault="0076320D" w:rsidP="00B973F9">
      <w:pPr>
        <w:pStyle w:val="Disclaimer"/>
        <w:numPr>
          <w:ilvl w:val="0"/>
          <w:numId w:val="15"/>
        </w:numPr>
        <w:jc w:val="both"/>
        <w:rPr>
          <w:rFonts w:eastAsiaTheme="minorEastAsia"/>
          <w:b w:val="0"/>
          <w:i w:val="0"/>
          <w:color w:val="4A442A" w:themeColor="background2" w:themeShade="40"/>
          <w:sz w:val="24"/>
          <w:szCs w:val="24"/>
          <w:lang w:eastAsia="en-US"/>
        </w:rPr>
      </w:pPr>
      <w:r w:rsidRPr="003815D9">
        <w:rPr>
          <w:rFonts w:eastAsiaTheme="minorEastAsia"/>
          <w:b w:val="0"/>
          <w:i w:val="0"/>
          <w:color w:val="4A442A" w:themeColor="background2" w:themeShade="40"/>
          <w:sz w:val="24"/>
          <w:szCs w:val="24"/>
          <w:lang w:eastAsia="en-US"/>
        </w:rPr>
        <w:t xml:space="preserve">separate rear studios, </w:t>
      </w:r>
    </w:p>
    <w:p w14:paraId="10C478CD" w14:textId="7327CC15" w:rsidR="00B973F9" w:rsidRDefault="0076320D" w:rsidP="00B973F9">
      <w:pPr>
        <w:pStyle w:val="Disclaimer"/>
        <w:numPr>
          <w:ilvl w:val="0"/>
          <w:numId w:val="15"/>
        </w:numPr>
        <w:jc w:val="both"/>
        <w:rPr>
          <w:rFonts w:eastAsiaTheme="minorEastAsia"/>
          <w:b w:val="0"/>
          <w:i w:val="0"/>
          <w:color w:val="4A442A" w:themeColor="background2" w:themeShade="40"/>
          <w:sz w:val="24"/>
          <w:szCs w:val="24"/>
          <w:lang w:eastAsia="en-US"/>
        </w:rPr>
      </w:pPr>
      <w:r w:rsidRPr="003815D9">
        <w:rPr>
          <w:rFonts w:eastAsiaTheme="minorEastAsia"/>
          <w:b w:val="0"/>
          <w:i w:val="0"/>
          <w:color w:val="4A442A" w:themeColor="background2" w:themeShade="40"/>
          <w:sz w:val="24"/>
          <w:szCs w:val="24"/>
          <w:lang w:eastAsia="en-US"/>
        </w:rPr>
        <w:t xml:space="preserve">self-contained quarters within </w:t>
      </w:r>
      <w:r w:rsidR="00B973F9">
        <w:rPr>
          <w:rFonts w:eastAsiaTheme="minorEastAsia"/>
          <w:b w:val="0"/>
          <w:i w:val="0"/>
          <w:color w:val="4A442A" w:themeColor="background2" w:themeShade="40"/>
          <w:sz w:val="24"/>
          <w:szCs w:val="24"/>
          <w:lang w:eastAsia="en-US"/>
        </w:rPr>
        <w:t>an a</w:t>
      </w:r>
      <w:r w:rsidRPr="003815D9">
        <w:rPr>
          <w:rFonts w:eastAsiaTheme="minorEastAsia"/>
          <w:b w:val="0"/>
          <w:i w:val="0"/>
          <w:color w:val="4A442A" w:themeColor="background2" w:themeShade="40"/>
          <w:sz w:val="24"/>
          <w:szCs w:val="24"/>
          <w:lang w:eastAsia="en-US"/>
        </w:rPr>
        <w:t xml:space="preserve"> house </w:t>
      </w:r>
      <w:r w:rsidR="00B973F9">
        <w:rPr>
          <w:rFonts w:eastAsiaTheme="minorEastAsia"/>
          <w:b w:val="0"/>
          <w:i w:val="0"/>
          <w:color w:val="4A442A" w:themeColor="background2" w:themeShade="40"/>
          <w:sz w:val="24"/>
          <w:szCs w:val="24"/>
          <w:lang w:eastAsia="en-US"/>
        </w:rPr>
        <w:t>(</w:t>
      </w:r>
      <w:r w:rsidRPr="003815D9">
        <w:rPr>
          <w:rFonts w:eastAsiaTheme="minorEastAsia"/>
          <w:b w:val="0"/>
          <w:i w:val="0"/>
          <w:color w:val="4A442A" w:themeColor="background2" w:themeShade="40"/>
          <w:sz w:val="24"/>
          <w:szCs w:val="24"/>
          <w:lang w:eastAsia="en-US"/>
        </w:rPr>
        <w:t>for example a second storey or separate ground floor wing that may have a shared entry or separate external access</w:t>
      </w:r>
      <w:r w:rsidR="00B973F9">
        <w:rPr>
          <w:rFonts w:eastAsiaTheme="minorEastAsia"/>
          <w:b w:val="0"/>
          <w:i w:val="0"/>
          <w:color w:val="4A442A" w:themeColor="background2" w:themeShade="40"/>
          <w:sz w:val="24"/>
          <w:szCs w:val="24"/>
          <w:lang w:eastAsia="en-US"/>
        </w:rPr>
        <w:t>)</w:t>
      </w:r>
      <w:r w:rsidR="00C644D5">
        <w:rPr>
          <w:rFonts w:eastAsiaTheme="minorEastAsia"/>
          <w:b w:val="0"/>
          <w:i w:val="0"/>
          <w:color w:val="4A442A" w:themeColor="background2" w:themeShade="40"/>
          <w:sz w:val="24"/>
          <w:szCs w:val="24"/>
          <w:lang w:eastAsia="en-US"/>
        </w:rPr>
        <w:t>,</w:t>
      </w:r>
    </w:p>
    <w:p w14:paraId="52E536D6" w14:textId="6BF140D9" w:rsidR="00C644D5" w:rsidRDefault="00C644D5" w:rsidP="00B973F9">
      <w:pPr>
        <w:pStyle w:val="Disclaimer"/>
        <w:numPr>
          <w:ilvl w:val="0"/>
          <w:numId w:val="15"/>
        </w:numPr>
        <w:jc w:val="both"/>
        <w:rPr>
          <w:rFonts w:eastAsiaTheme="minorEastAsia"/>
          <w:b w:val="0"/>
          <w:i w:val="0"/>
          <w:color w:val="4A442A" w:themeColor="background2" w:themeShade="40"/>
          <w:sz w:val="24"/>
          <w:szCs w:val="24"/>
          <w:lang w:eastAsia="en-US"/>
        </w:rPr>
      </w:pPr>
      <w:r>
        <w:rPr>
          <w:rFonts w:eastAsiaTheme="minorEastAsia"/>
          <w:b w:val="0"/>
          <w:i w:val="0"/>
          <w:color w:val="4A442A" w:themeColor="background2" w:themeShade="40"/>
          <w:sz w:val="24"/>
          <w:szCs w:val="24"/>
          <w:lang w:eastAsia="en-US"/>
        </w:rPr>
        <w:t>dual key living arrangements; or</w:t>
      </w:r>
    </w:p>
    <w:p w14:paraId="4EA30E25" w14:textId="601456FE" w:rsidR="00634A09" w:rsidRPr="003815D9" w:rsidRDefault="00B973F9" w:rsidP="00B973F9">
      <w:pPr>
        <w:pStyle w:val="Disclaimer"/>
        <w:numPr>
          <w:ilvl w:val="0"/>
          <w:numId w:val="15"/>
        </w:numPr>
        <w:jc w:val="both"/>
        <w:rPr>
          <w:rFonts w:eastAsiaTheme="minorEastAsia"/>
          <w:b w:val="0"/>
          <w:i w:val="0"/>
          <w:color w:val="4A442A" w:themeColor="background2" w:themeShade="40"/>
          <w:sz w:val="24"/>
          <w:szCs w:val="24"/>
          <w:lang w:eastAsia="en-US"/>
        </w:rPr>
      </w:pPr>
      <w:r>
        <w:rPr>
          <w:rFonts w:eastAsiaTheme="minorEastAsia"/>
          <w:b w:val="0"/>
          <w:i w:val="0"/>
          <w:color w:val="4A442A" w:themeColor="background2" w:themeShade="40"/>
          <w:sz w:val="24"/>
          <w:szCs w:val="24"/>
          <w:lang w:eastAsia="en-US"/>
        </w:rPr>
        <w:t xml:space="preserve">other types of self-contained accommodation. </w:t>
      </w:r>
    </w:p>
    <w:p w14:paraId="04201EA6" w14:textId="77777777" w:rsidR="0076320D" w:rsidRDefault="0076320D" w:rsidP="0076320D">
      <w:pPr>
        <w:pStyle w:val="Disclaimer"/>
        <w:rPr>
          <w:sz w:val="24"/>
          <w:szCs w:val="24"/>
        </w:rPr>
      </w:pPr>
    </w:p>
    <w:p w14:paraId="028B3C11" w14:textId="77777777" w:rsidR="00C1498F" w:rsidRPr="00000DA5" w:rsidRDefault="00C1498F" w:rsidP="00C1498F">
      <w:pPr>
        <w:pStyle w:val="Disclaimer"/>
        <w:pBdr>
          <w:top w:val="single" w:sz="12" w:space="1" w:color="auto"/>
          <w:bottom w:val="single" w:sz="12" w:space="1" w:color="auto"/>
        </w:pBdr>
        <w:rPr>
          <w:i w:val="0"/>
          <w:sz w:val="24"/>
          <w:szCs w:val="24"/>
        </w:rPr>
      </w:pPr>
      <w:r>
        <w:rPr>
          <w:i w:val="0"/>
          <w:sz w:val="24"/>
          <w:szCs w:val="24"/>
        </w:rPr>
        <w:t>DO THEY ALL REQUIRE PLANNING APPROVAL?</w:t>
      </w:r>
    </w:p>
    <w:p w14:paraId="07B9C948" w14:textId="77777777" w:rsidR="00C1498F" w:rsidRDefault="00C1498F" w:rsidP="00C1498F">
      <w:pPr>
        <w:autoSpaceDE w:val="0"/>
        <w:autoSpaceDN w:val="0"/>
        <w:adjustRightInd w:val="0"/>
        <w:spacing w:after="0" w:line="240" w:lineRule="auto"/>
        <w:rPr>
          <w:rFonts w:ascii="Arial" w:eastAsiaTheme="minorEastAsia" w:hAnsi="Arial" w:cs="Arial"/>
          <w:color w:val="000000"/>
          <w:sz w:val="24"/>
          <w:szCs w:val="24"/>
          <w:lang w:eastAsia="en-US"/>
        </w:rPr>
      </w:pPr>
    </w:p>
    <w:p w14:paraId="21B595EC" w14:textId="1AA830AB" w:rsidR="00C1498F" w:rsidRPr="003815D9" w:rsidRDefault="00C1498F" w:rsidP="003815D9">
      <w:pPr>
        <w:autoSpaceDE w:val="0"/>
        <w:autoSpaceDN w:val="0"/>
        <w:adjustRightInd w:val="0"/>
        <w:spacing w:after="0" w:line="240" w:lineRule="auto"/>
        <w:ind w:right="283"/>
        <w:jc w:val="both"/>
        <w:rPr>
          <w:rFonts w:ascii="Arial" w:eastAsiaTheme="minorEastAsia" w:hAnsi="Arial" w:cs="Arial"/>
          <w:color w:val="4A442A" w:themeColor="background2" w:themeShade="40"/>
          <w:sz w:val="24"/>
          <w:szCs w:val="24"/>
          <w:lang w:eastAsia="en-US"/>
        </w:rPr>
      </w:pPr>
      <w:r w:rsidRPr="00C1498F">
        <w:rPr>
          <w:rFonts w:ascii="Arial" w:eastAsiaTheme="minorEastAsia" w:hAnsi="Arial" w:cs="Arial"/>
          <w:color w:val="4A442A" w:themeColor="background2" w:themeShade="40"/>
          <w:sz w:val="24"/>
          <w:szCs w:val="24"/>
          <w:lang w:eastAsia="en-US"/>
        </w:rPr>
        <w:t xml:space="preserve">An Ancillary Dwelling is a permitted use within the ‘Residential’ zone and a discretionary use within the </w:t>
      </w:r>
      <w:r w:rsidR="005A36D7">
        <w:rPr>
          <w:rFonts w:ascii="Arial" w:eastAsiaTheme="minorEastAsia" w:hAnsi="Arial" w:cs="Arial"/>
          <w:color w:val="4A442A" w:themeColor="background2" w:themeShade="40"/>
          <w:sz w:val="24"/>
          <w:szCs w:val="24"/>
          <w:lang w:eastAsia="en-US"/>
        </w:rPr>
        <w:t xml:space="preserve">‘Resource’, </w:t>
      </w:r>
      <w:r w:rsidRPr="00C1498F">
        <w:rPr>
          <w:rFonts w:ascii="Arial" w:eastAsiaTheme="minorEastAsia" w:hAnsi="Arial" w:cs="Arial"/>
          <w:color w:val="4A442A" w:themeColor="background2" w:themeShade="40"/>
          <w:sz w:val="24"/>
          <w:szCs w:val="24"/>
          <w:lang w:eastAsia="en-US"/>
        </w:rPr>
        <w:t xml:space="preserve">‘Rural Living’ and ‘Rural’ zones under the City of Cockburn </w:t>
      </w:r>
      <w:r w:rsidR="00DF3DE3">
        <w:rPr>
          <w:rFonts w:ascii="Arial" w:eastAsiaTheme="minorEastAsia" w:hAnsi="Arial" w:cs="Arial"/>
          <w:color w:val="4A442A" w:themeColor="background2" w:themeShade="40"/>
          <w:sz w:val="24"/>
          <w:szCs w:val="24"/>
          <w:lang w:eastAsia="en-US"/>
        </w:rPr>
        <w:t>Town</w:t>
      </w:r>
      <w:r w:rsidRPr="00C1498F">
        <w:rPr>
          <w:rFonts w:ascii="Arial" w:eastAsiaTheme="minorEastAsia" w:hAnsi="Arial" w:cs="Arial"/>
          <w:color w:val="4A442A" w:themeColor="background2" w:themeShade="40"/>
          <w:sz w:val="24"/>
          <w:szCs w:val="24"/>
          <w:lang w:eastAsia="en-US"/>
        </w:rPr>
        <w:t xml:space="preserve"> Planning Scheme No.</w:t>
      </w:r>
      <w:r w:rsidRPr="003815D9">
        <w:rPr>
          <w:rFonts w:ascii="Arial" w:eastAsiaTheme="minorEastAsia" w:hAnsi="Arial" w:cs="Arial"/>
          <w:color w:val="4A442A" w:themeColor="background2" w:themeShade="40"/>
          <w:sz w:val="24"/>
          <w:szCs w:val="24"/>
          <w:lang w:eastAsia="en-US"/>
        </w:rPr>
        <w:t xml:space="preserve"> </w:t>
      </w:r>
      <w:r w:rsidRPr="00C1498F">
        <w:rPr>
          <w:rFonts w:ascii="Arial" w:eastAsiaTheme="minorEastAsia" w:hAnsi="Arial" w:cs="Arial"/>
          <w:color w:val="4A442A" w:themeColor="background2" w:themeShade="40"/>
          <w:sz w:val="24"/>
          <w:szCs w:val="24"/>
          <w:lang w:eastAsia="en-US"/>
        </w:rPr>
        <w:t xml:space="preserve">3. </w:t>
      </w:r>
    </w:p>
    <w:p w14:paraId="7D6B809B" w14:textId="77777777" w:rsidR="00C1498F" w:rsidRPr="00C1498F" w:rsidRDefault="00C1498F" w:rsidP="00C1498F">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5393FB0C" w14:textId="14AD0AE5" w:rsidR="007A1159" w:rsidRDefault="00C1498F" w:rsidP="003815D9">
      <w:pPr>
        <w:pStyle w:val="Disclaimer"/>
        <w:ind w:right="283"/>
        <w:jc w:val="both"/>
        <w:rPr>
          <w:rFonts w:eastAsiaTheme="minorEastAsia"/>
          <w:b w:val="0"/>
          <w:i w:val="0"/>
          <w:color w:val="4A442A" w:themeColor="background2" w:themeShade="40"/>
          <w:sz w:val="24"/>
          <w:szCs w:val="24"/>
          <w:lang w:eastAsia="en-US"/>
        </w:rPr>
      </w:pPr>
      <w:r w:rsidRPr="003815D9">
        <w:rPr>
          <w:rFonts w:eastAsiaTheme="minorEastAsia"/>
          <w:b w:val="0"/>
          <w:i w:val="0"/>
          <w:color w:val="4A442A" w:themeColor="background2" w:themeShade="40"/>
          <w:sz w:val="24"/>
          <w:szCs w:val="24"/>
          <w:lang w:eastAsia="en-US"/>
        </w:rPr>
        <w:t xml:space="preserve">A planning approval from the City of Cockburn is required </w:t>
      </w:r>
      <w:r w:rsidR="00E77630">
        <w:rPr>
          <w:rFonts w:eastAsiaTheme="minorEastAsia"/>
          <w:b w:val="0"/>
          <w:i w:val="0"/>
          <w:color w:val="4A442A" w:themeColor="background2" w:themeShade="40"/>
          <w:sz w:val="24"/>
          <w:szCs w:val="24"/>
          <w:lang w:eastAsia="en-US"/>
        </w:rPr>
        <w:t xml:space="preserve">Ancillary Dwellings in the </w:t>
      </w:r>
      <w:r w:rsidR="00375AD2">
        <w:rPr>
          <w:rFonts w:eastAsiaTheme="minorEastAsia"/>
          <w:b w:val="0"/>
          <w:i w:val="0"/>
          <w:color w:val="4A442A" w:themeColor="background2" w:themeShade="40"/>
          <w:sz w:val="24"/>
          <w:szCs w:val="24"/>
          <w:lang w:eastAsia="en-US"/>
        </w:rPr>
        <w:t>‘</w:t>
      </w:r>
      <w:r w:rsidR="005A36D7">
        <w:rPr>
          <w:rFonts w:eastAsiaTheme="minorEastAsia"/>
          <w:b w:val="0"/>
          <w:i w:val="0"/>
          <w:color w:val="4A442A" w:themeColor="background2" w:themeShade="40"/>
          <w:sz w:val="24"/>
          <w:szCs w:val="24"/>
          <w:lang w:eastAsia="en-US"/>
        </w:rPr>
        <w:t>R</w:t>
      </w:r>
      <w:r w:rsidR="00375AD2">
        <w:rPr>
          <w:rFonts w:eastAsiaTheme="minorEastAsia"/>
          <w:b w:val="0"/>
          <w:i w:val="0"/>
          <w:color w:val="4A442A" w:themeColor="background2" w:themeShade="40"/>
          <w:sz w:val="24"/>
          <w:szCs w:val="24"/>
          <w:lang w:eastAsia="en-US"/>
        </w:rPr>
        <w:t xml:space="preserve">esource’, </w:t>
      </w:r>
      <w:r w:rsidR="00E77630">
        <w:rPr>
          <w:rFonts w:eastAsiaTheme="minorEastAsia"/>
          <w:b w:val="0"/>
          <w:i w:val="0"/>
          <w:color w:val="4A442A" w:themeColor="background2" w:themeShade="40"/>
          <w:sz w:val="24"/>
          <w:szCs w:val="24"/>
          <w:lang w:eastAsia="en-US"/>
        </w:rPr>
        <w:t>‘Rural Living’ and ‘Rural’ zone</w:t>
      </w:r>
      <w:r w:rsidR="007A1159">
        <w:rPr>
          <w:rFonts w:eastAsiaTheme="minorEastAsia"/>
          <w:b w:val="0"/>
          <w:i w:val="0"/>
          <w:color w:val="4A442A" w:themeColor="background2" w:themeShade="40"/>
          <w:sz w:val="24"/>
          <w:szCs w:val="24"/>
          <w:lang w:eastAsia="en-US"/>
        </w:rPr>
        <w:t xml:space="preserve">. </w:t>
      </w:r>
    </w:p>
    <w:p w14:paraId="7BFD5F1C" w14:textId="77777777" w:rsidR="007A1159" w:rsidRDefault="007A1159" w:rsidP="003815D9">
      <w:pPr>
        <w:pStyle w:val="Disclaimer"/>
        <w:ind w:right="283"/>
        <w:jc w:val="both"/>
        <w:rPr>
          <w:rFonts w:eastAsiaTheme="minorEastAsia"/>
          <w:b w:val="0"/>
          <w:i w:val="0"/>
          <w:color w:val="4A442A" w:themeColor="background2" w:themeShade="40"/>
          <w:sz w:val="24"/>
          <w:szCs w:val="24"/>
          <w:lang w:eastAsia="en-US"/>
        </w:rPr>
      </w:pPr>
    </w:p>
    <w:p w14:paraId="00FBF797" w14:textId="77777777" w:rsidR="00AA5D11" w:rsidRDefault="007A1159" w:rsidP="003815D9">
      <w:pPr>
        <w:pStyle w:val="Disclaimer"/>
        <w:ind w:right="283"/>
        <w:jc w:val="both"/>
        <w:rPr>
          <w:rFonts w:eastAsiaTheme="minorEastAsia"/>
          <w:b w:val="0"/>
          <w:i w:val="0"/>
          <w:color w:val="4A442A" w:themeColor="background2" w:themeShade="40"/>
          <w:sz w:val="24"/>
          <w:szCs w:val="24"/>
          <w:lang w:eastAsia="en-US"/>
        </w:rPr>
      </w:pPr>
      <w:r>
        <w:rPr>
          <w:rFonts w:eastAsiaTheme="minorEastAsia"/>
          <w:b w:val="0"/>
          <w:i w:val="0"/>
          <w:color w:val="4A442A" w:themeColor="background2" w:themeShade="40"/>
          <w:sz w:val="24"/>
          <w:szCs w:val="24"/>
          <w:lang w:eastAsia="en-US"/>
        </w:rPr>
        <w:t xml:space="preserve">Ancillary dwellings require planning approval in the </w:t>
      </w:r>
      <w:r w:rsidR="00E77630">
        <w:rPr>
          <w:rFonts w:eastAsiaTheme="minorEastAsia"/>
          <w:b w:val="0"/>
          <w:i w:val="0"/>
          <w:color w:val="4A442A" w:themeColor="background2" w:themeShade="40"/>
          <w:sz w:val="24"/>
          <w:szCs w:val="24"/>
          <w:lang w:eastAsia="en-US"/>
        </w:rPr>
        <w:t>‘Residential’ zone where there are variations to the Residential Design Codes (R-Codes).</w:t>
      </w:r>
      <w:r w:rsidR="00375AD2">
        <w:rPr>
          <w:rFonts w:eastAsiaTheme="minorEastAsia"/>
          <w:b w:val="0"/>
          <w:i w:val="0"/>
          <w:color w:val="4A442A" w:themeColor="background2" w:themeShade="40"/>
          <w:sz w:val="24"/>
          <w:szCs w:val="24"/>
          <w:lang w:eastAsia="en-US"/>
        </w:rPr>
        <w:t xml:space="preserve"> If the ancillary dwelling complies with the R-Codes, then no planning approval is required </w:t>
      </w:r>
      <w:r w:rsidR="00AA5D11">
        <w:rPr>
          <w:rFonts w:eastAsiaTheme="minorEastAsia"/>
          <w:b w:val="0"/>
          <w:i w:val="0"/>
          <w:color w:val="4A442A" w:themeColor="background2" w:themeShade="40"/>
          <w:sz w:val="24"/>
          <w:szCs w:val="24"/>
          <w:lang w:eastAsia="en-US"/>
        </w:rPr>
        <w:t>if it is on the same lot as a single or grouped dwelling</w:t>
      </w:r>
      <w:r w:rsidR="00375AD2">
        <w:rPr>
          <w:rFonts w:eastAsiaTheme="minorEastAsia"/>
          <w:b w:val="0"/>
          <w:i w:val="0"/>
          <w:color w:val="4A442A" w:themeColor="background2" w:themeShade="40"/>
          <w:sz w:val="24"/>
          <w:szCs w:val="24"/>
          <w:lang w:eastAsia="en-US"/>
        </w:rPr>
        <w:t>.</w:t>
      </w:r>
      <w:r w:rsidR="00C1498F" w:rsidRPr="003815D9">
        <w:rPr>
          <w:rFonts w:eastAsiaTheme="minorEastAsia"/>
          <w:b w:val="0"/>
          <w:i w:val="0"/>
          <w:color w:val="4A442A" w:themeColor="background2" w:themeShade="40"/>
          <w:sz w:val="24"/>
          <w:szCs w:val="24"/>
          <w:lang w:eastAsia="en-US"/>
        </w:rPr>
        <w:t xml:space="preserve"> </w:t>
      </w:r>
    </w:p>
    <w:p w14:paraId="48EA8950" w14:textId="77777777" w:rsidR="00AA5D11" w:rsidRDefault="00AA5D11" w:rsidP="003815D9">
      <w:pPr>
        <w:pStyle w:val="Disclaimer"/>
        <w:ind w:right="283"/>
        <w:jc w:val="both"/>
        <w:rPr>
          <w:rFonts w:eastAsiaTheme="minorEastAsia"/>
          <w:b w:val="0"/>
          <w:i w:val="0"/>
          <w:color w:val="4A442A" w:themeColor="background2" w:themeShade="40"/>
          <w:sz w:val="24"/>
          <w:szCs w:val="24"/>
          <w:lang w:eastAsia="en-US"/>
        </w:rPr>
      </w:pPr>
    </w:p>
    <w:p w14:paraId="2EFC835D" w14:textId="5D560AD6" w:rsidR="00DB53F4" w:rsidRPr="003815D9" w:rsidRDefault="00C1498F" w:rsidP="003815D9">
      <w:pPr>
        <w:pStyle w:val="Disclaimer"/>
        <w:ind w:right="283"/>
        <w:jc w:val="both"/>
        <w:rPr>
          <w:rFonts w:eastAsiaTheme="minorEastAsia"/>
          <w:b w:val="0"/>
          <w:i w:val="0"/>
          <w:color w:val="4A442A" w:themeColor="background2" w:themeShade="40"/>
          <w:sz w:val="24"/>
          <w:szCs w:val="24"/>
          <w:lang w:eastAsia="en-US"/>
        </w:rPr>
      </w:pPr>
      <w:r w:rsidRPr="003815D9">
        <w:rPr>
          <w:rFonts w:eastAsiaTheme="minorEastAsia"/>
          <w:b w:val="0"/>
          <w:i w:val="0"/>
          <w:color w:val="4A442A" w:themeColor="background2" w:themeShade="40"/>
          <w:sz w:val="24"/>
          <w:szCs w:val="24"/>
          <w:lang w:eastAsia="en-US"/>
        </w:rPr>
        <w:t xml:space="preserve">For more information about what forms, fees and information is required please </w:t>
      </w:r>
      <w:r w:rsidR="0039340A">
        <w:rPr>
          <w:rFonts w:eastAsiaTheme="minorEastAsia"/>
          <w:b w:val="0"/>
          <w:i w:val="0"/>
          <w:color w:val="4A442A" w:themeColor="background2" w:themeShade="40"/>
          <w:sz w:val="24"/>
          <w:szCs w:val="24"/>
          <w:lang w:eastAsia="en-US"/>
        </w:rPr>
        <w:t xml:space="preserve">visit </w:t>
      </w:r>
      <w:hyperlink r:id="rId7" w:history="1">
        <w:r w:rsidR="0039340A" w:rsidRPr="00ED684E">
          <w:rPr>
            <w:rStyle w:val="Hyperlink"/>
            <w:sz w:val="24"/>
            <w:szCs w:val="24"/>
          </w:rPr>
          <w:t>Online Planning Applications - City of Cockburn</w:t>
        </w:r>
      </w:hyperlink>
      <w:r w:rsidRPr="003815D9">
        <w:rPr>
          <w:rFonts w:eastAsiaTheme="minorEastAsia"/>
          <w:b w:val="0"/>
          <w:i w:val="0"/>
          <w:color w:val="4A442A" w:themeColor="background2" w:themeShade="40"/>
          <w:sz w:val="24"/>
          <w:szCs w:val="24"/>
          <w:lang w:eastAsia="en-US"/>
        </w:rPr>
        <w:t>. Once planning approval is obtained, a Building Permit must be sought from the City’s Building Services.</w:t>
      </w:r>
    </w:p>
    <w:p w14:paraId="2B50A934" w14:textId="77777777" w:rsidR="00000DA5" w:rsidRDefault="00000DA5" w:rsidP="00DB53F4">
      <w:pPr>
        <w:pStyle w:val="Disclaimer"/>
        <w:jc w:val="both"/>
        <w:rPr>
          <w:b w:val="0"/>
          <w:i w:val="0"/>
          <w:color w:val="4A442A" w:themeColor="background2" w:themeShade="40"/>
          <w:sz w:val="23"/>
          <w:szCs w:val="23"/>
        </w:rPr>
      </w:pPr>
    </w:p>
    <w:p w14:paraId="49F99F2B" w14:textId="77777777" w:rsidR="009706F6" w:rsidRDefault="009706F6"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r w:rsidRPr="003815D9">
        <w:rPr>
          <w:rFonts w:ascii="Arial" w:hAnsi="Arial" w:cs="Arial"/>
          <w:color w:val="4A442A" w:themeColor="background2" w:themeShade="40"/>
          <w:sz w:val="24"/>
          <w:szCs w:val="24"/>
        </w:rPr>
        <w:t>Please note that any proposed ancillary dwellings</w:t>
      </w:r>
      <w:r>
        <w:rPr>
          <w:rFonts w:ascii="Arial" w:hAnsi="Arial" w:cs="Arial"/>
          <w:color w:val="4A442A" w:themeColor="background2" w:themeShade="40"/>
          <w:sz w:val="24"/>
          <w:szCs w:val="24"/>
        </w:rPr>
        <w:t xml:space="preserve"> on lots greater than 1,100sqm, and identified</w:t>
      </w:r>
      <w:r w:rsidRPr="003815D9">
        <w:rPr>
          <w:rFonts w:ascii="Arial" w:hAnsi="Arial" w:cs="Arial"/>
          <w:color w:val="4A442A" w:themeColor="background2" w:themeShade="40"/>
          <w:sz w:val="24"/>
          <w:szCs w:val="24"/>
        </w:rPr>
        <w:t xml:space="preserve"> </w:t>
      </w:r>
      <w:r>
        <w:rPr>
          <w:rFonts w:ascii="Arial" w:hAnsi="Arial" w:cs="Arial"/>
          <w:color w:val="4A442A" w:themeColor="background2" w:themeShade="40"/>
          <w:sz w:val="24"/>
          <w:szCs w:val="24"/>
        </w:rPr>
        <w:t>as being within a</w:t>
      </w:r>
      <w:r w:rsidRPr="003815D9">
        <w:rPr>
          <w:rFonts w:ascii="Arial" w:hAnsi="Arial" w:cs="Arial"/>
          <w:color w:val="4A442A" w:themeColor="background2" w:themeShade="40"/>
          <w:sz w:val="24"/>
          <w:szCs w:val="24"/>
        </w:rPr>
        <w:t xml:space="preserve"> bush fire rated</w:t>
      </w:r>
      <w:r>
        <w:rPr>
          <w:rFonts w:ascii="Arial" w:hAnsi="Arial" w:cs="Arial"/>
          <w:color w:val="4A442A" w:themeColor="background2" w:themeShade="40"/>
          <w:sz w:val="24"/>
          <w:szCs w:val="24"/>
        </w:rPr>
        <w:t xml:space="preserve"> Bushfire Attack Level Assessment (BAL) of 40 or Flame Zone </w:t>
      </w:r>
      <w:r w:rsidRPr="003815D9">
        <w:rPr>
          <w:rFonts w:ascii="Arial" w:hAnsi="Arial" w:cs="Arial"/>
          <w:color w:val="4A442A" w:themeColor="background2" w:themeShade="40"/>
          <w:sz w:val="24"/>
          <w:szCs w:val="24"/>
        </w:rPr>
        <w:t xml:space="preserve">will trigger the requirement for planning approval. The development application will need to be accompanied </w:t>
      </w:r>
      <w:r>
        <w:rPr>
          <w:rFonts w:ascii="Arial" w:hAnsi="Arial" w:cs="Arial"/>
          <w:color w:val="4A442A" w:themeColor="background2" w:themeShade="40"/>
          <w:sz w:val="24"/>
          <w:szCs w:val="24"/>
        </w:rPr>
        <w:t>BAL</w:t>
      </w:r>
      <w:r w:rsidRPr="003815D9">
        <w:rPr>
          <w:rFonts w:ascii="Arial" w:hAnsi="Arial" w:cs="Arial"/>
          <w:color w:val="4A442A" w:themeColor="background2" w:themeShade="40"/>
          <w:sz w:val="24"/>
          <w:szCs w:val="24"/>
        </w:rPr>
        <w:t xml:space="preserve"> assessment in accordance with the </w:t>
      </w:r>
      <w:r>
        <w:rPr>
          <w:rFonts w:ascii="Arial" w:hAnsi="Arial" w:cs="Arial"/>
          <w:color w:val="4A442A" w:themeColor="background2" w:themeShade="40"/>
          <w:sz w:val="24"/>
          <w:szCs w:val="24"/>
        </w:rPr>
        <w:t>State Planning Policy 3.7.</w:t>
      </w:r>
    </w:p>
    <w:p w14:paraId="1A4E26D8"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5F940C2B"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1E3EBECB"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389A1710"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0F4312E1"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4D3A0B7B"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4A1985C9"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1A9AD12F"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7F2648D7" w14:textId="77777777" w:rsidR="0020051B" w:rsidRDefault="0020051B" w:rsidP="009706F6">
      <w:pPr>
        <w:autoSpaceDE w:val="0"/>
        <w:autoSpaceDN w:val="0"/>
        <w:adjustRightInd w:val="0"/>
        <w:spacing w:after="0" w:line="240" w:lineRule="auto"/>
        <w:ind w:right="283"/>
        <w:jc w:val="both"/>
        <w:rPr>
          <w:rFonts w:ascii="Arial" w:hAnsi="Arial" w:cs="Arial"/>
          <w:color w:val="4A442A" w:themeColor="background2" w:themeShade="40"/>
          <w:sz w:val="24"/>
          <w:szCs w:val="24"/>
        </w:rPr>
      </w:pPr>
    </w:p>
    <w:p w14:paraId="7DFEAB9F" w14:textId="77777777" w:rsidR="0020051B" w:rsidRPr="003815D9" w:rsidRDefault="0020051B" w:rsidP="009706F6">
      <w:pPr>
        <w:autoSpaceDE w:val="0"/>
        <w:autoSpaceDN w:val="0"/>
        <w:adjustRightInd w:val="0"/>
        <w:spacing w:after="0" w:line="240" w:lineRule="auto"/>
        <w:ind w:right="283"/>
        <w:jc w:val="both"/>
        <w:rPr>
          <w:rFonts w:ascii="Arial" w:eastAsiaTheme="minorEastAsia" w:hAnsi="Arial" w:cs="Arial"/>
          <w:color w:val="4A442A" w:themeColor="background2" w:themeShade="40"/>
          <w:sz w:val="24"/>
          <w:szCs w:val="24"/>
          <w:lang w:eastAsia="en-US"/>
        </w:rPr>
      </w:pPr>
    </w:p>
    <w:p w14:paraId="57315DF5" w14:textId="77777777" w:rsidR="003815D9" w:rsidRPr="00DB53F4" w:rsidRDefault="003815D9" w:rsidP="00DB53F4">
      <w:pPr>
        <w:pStyle w:val="Disclaimer"/>
        <w:jc w:val="both"/>
        <w:rPr>
          <w:b w:val="0"/>
          <w:i w:val="0"/>
          <w:color w:val="4A442A" w:themeColor="background2" w:themeShade="40"/>
          <w:sz w:val="23"/>
          <w:szCs w:val="23"/>
        </w:rPr>
      </w:pPr>
    </w:p>
    <w:p w14:paraId="2BF4935C" w14:textId="311C8095" w:rsidR="00DB53F4" w:rsidRDefault="00C97EDF" w:rsidP="00C97EDF">
      <w:pPr>
        <w:pStyle w:val="Disclaimer"/>
        <w:pBdr>
          <w:top w:val="single" w:sz="12" w:space="1" w:color="auto"/>
          <w:bottom w:val="single" w:sz="12" w:space="1" w:color="auto"/>
        </w:pBdr>
        <w:rPr>
          <w:i w:val="0"/>
          <w:sz w:val="24"/>
          <w:szCs w:val="24"/>
        </w:rPr>
      </w:pPr>
      <w:r>
        <w:rPr>
          <w:i w:val="0"/>
          <w:sz w:val="24"/>
          <w:szCs w:val="24"/>
        </w:rPr>
        <w:t>WHAT ARE THE DEVELOPMENT STANDARDS?</w:t>
      </w:r>
    </w:p>
    <w:p w14:paraId="4BF2BA64" w14:textId="77777777" w:rsidR="00922003" w:rsidRDefault="00922003" w:rsidP="00E5365F">
      <w:pPr>
        <w:pStyle w:val="Disclaimer"/>
        <w:tabs>
          <w:tab w:val="left" w:pos="3568"/>
        </w:tabs>
        <w:jc w:val="both"/>
        <w:rPr>
          <w:b w:val="0"/>
          <w:i w:val="0"/>
          <w:color w:val="4A442A" w:themeColor="background2" w:themeShade="40"/>
          <w:sz w:val="24"/>
          <w:szCs w:val="24"/>
        </w:rPr>
      </w:pPr>
    </w:p>
    <w:p w14:paraId="74C3F4F1" w14:textId="66FBAE47" w:rsidR="00DB53F4" w:rsidRDefault="00922003" w:rsidP="00E5365F">
      <w:pPr>
        <w:pStyle w:val="Disclaimer"/>
        <w:tabs>
          <w:tab w:val="left" w:pos="3568"/>
        </w:tabs>
        <w:jc w:val="both"/>
        <w:rPr>
          <w:b w:val="0"/>
          <w:i w:val="0"/>
          <w:color w:val="4A442A" w:themeColor="background2" w:themeShade="40"/>
          <w:sz w:val="24"/>
          <w:szCs w:val="24"/>
        </w:rPr>
      </w:pPr>
      <w:r>
        <w:rPr>
          <w:b w:val="0"/>
          <w:i w:val="0"/>
          <w:color w:val="4A442A" w:themeColor="background2" w:themeShade="40"/>
          <w:sz w:val="24"/>
          <w:szCs w:val="24"/>
        </w:rPr>
        <w:t xml:space="preserve">If a proposed ancillary dwelling in the residential zone complies with the standards outlined in the below, no planning approval is required. </w:t>
      </w:r>
      <w:r w:rsidR="00547226">
        <w:rPr>
          <w:b w:val="0"/>
          <w:i w:val="0"/>
          <w:color w:val="4A442A" w:themeColor="background2" w:themeShade="40"/>
          <w:sz w:val="24"/>
          <w:szCs w:val="24"/>
        </w:rPr>
        <w:t xml:space="preserve">A planning approval is required if any variations to the below are proposed. </w:t>
      </w:r>
      <w:r>
        <w:rPr>
          <w:b w:val="0"/>
          <w:i w:val="0"/>
          <w:color w:val="4A442A" w:themeColor="background2" w:themeShade="40"/>
          <w:sz w:val="24"/>
          <w:szCs w:val="24"/>
        </w:rPr>
        <w:t xml:space="preserve"> </w:t>
      </w:r>
      <w:r w:rsidR="00E5365F">
        <w:rPr>
          <w:b w:val="0"/>
          <w:i w:val="0"/>
          <w:color w:val="4A442A" w:themeColor="background2" w:themeShade="40"/>
          <w:sz w:val="24"/>
          <w:szCs w:val="24"/>
        </w:rPr>
        <w:tab/>
      </w:r>
    </w:p>
    <w:p w14:paraId="3FB9F04F" w14:textId="77777777" w:rsidR="00AA5D11" w:rsidRDefault="00AA5D11" w:rsidP="00DB53F4">
      <w:pPr>
        <w:pStyle w:val="Disclaimer"/>
        <w:jc w:val="both"/>
        <w:rPr>
          <w:b w:val="0"/>
          <w:i w:val="0"/>
          <w:color w:val="4A442A" w:themeColor="background2" w:themeShade="40"/>
          <w:sz w:val="24"/>
          <w:szCs w:val="24"/>
        </w:rPr>
      </w:pPr>
    </w:p>
    <w:p w14:paraId="7A3C9379" w14:textId="68A291A2" w:rsidR="00C97EDF" w:rsidRDefault="00C97EDF" w:rsidP="00DB53F4">
      <w:pPr>
        <w:pStyle w:val="Disclaimer"/>
        <w:jc w:val="both"/>
        <w:rPr>
          <w:b w:val="0"/>
          <w:i w:val="0"/>
          <w:color w:val="4A442A" w:themeColor="background2" w:themeShade="40"/>
          <w:sz w:val="24"/>
          <w:szCs w:val="24"/>
        </w:rPr>
      </w:pPr>
      <w:r>
        <w:rPr>
          <w:b w:val="0"/>
          <w:i w:val="0"/>
          <w:color w:val="4A442A" w:themeColor="background2" w:themeShade="40"/>
          <w:sz w:val="24"/>
          <w:szCs w:val="24"/>
        </w:rPr>
        <w:t xml:space="preserve">In accordance with the requirements of the </w:t>
      </w:r>
      <w:r w:rsidR="00E77630">
        <w:rPr>
          <w:b w:val="0"/>
          <w:i w:val="0"/>
          <w:color w:val="4A442A" w:themeColor="background2" w:themeShade="40"/>
          <w:sz w:val="24"/>
          <w:szCs w:val="24"/>
        </w:rPr>
        <w:t>R-Codes</w:t>
      </w:r>
      <w:r>
        <w:rPr>
          <w:b w:val="0"/>
          <w:i w:val="0"/>
          <w:color w:val="4A442A" w:themeColor="background2" w:themeShade="40"/>
          <w:sz w:val="24"/>
          <w:szCs w:val="24"/>
        </w:rPr>
        <w:t xml:space="preserve"> and the City’s Local Planning Policy</w:t>
      </w:r>
      <w:r w:rsidR="00E77630">
        <w:rPr>
          <w:b w:val="0"/>
          <w:i w:val="0"/>
          <w:color w:val="4A442A" w:themeColor="background2" w:themeShade="40"/>
          <w:sz w:val="24"/>
          <w:szCs w:val="24"/>
        </w:rPr>
        <w:t xml:space="preserve"> LPP1.3</w:t>
      </w:r>
      <w:r>
        <w:rPr>
          <w:b w:val="0"/>
          <w:i w:val="0"/>
          <w:color w:val="4A442A" w:themeColor="background2" w:themeShade="40"/>
          <w:sz w:val="24"/>
          <w:szCs w:val="24"/>
        </w:rPr>
        <w:t xml:space="preserve"> – Ancillary Dwellings, the following provisions apply:</w:t>
      </w:r>
    </w:p>
    <w:p w14:paraId="00F27396" w14:textId="77777777" w:rsidR="00C97EDF" w:rsidRPr="003815D9" w:rsidRDefault="00C97EDF" w:rsidP="00DB53F4">
      <w:pPr>
        <w:pStyle w:val="Disclaimer"/>
        <w:jc w:val="both"/>
        <w:rPr>
          <w:b w:val="0"/>
          <w:i w:val="0"/>
          <w:color w:val="4A442A" w:themeColor="background2" w:themeShade="40"/>
          <w:sz w:val="24"/>
          <w:szCs w:val="24"/>
        </w:rPr>
      </w:pPr>
    </w:p>
    <w:tbl>
      <w:tblPr>
        <w:tblStyle w:val="TableGrid"/>
        <w:tblW w:w="0" w:type="auto"/>
        <w:tblLook w:val="04A0" w:firstRow="1" w:lastRow="0" w:firstColumn="1" w:lastColumn="0" w:noHBand="0" w:noVBand="1"/>
      </w:tblPr>
      <w:tblGrid>
        <w:gridCol w:w="5337"/>
        <w:gridCol w:w="5346"/>
      </w:tblGrid>
      <w:tr w:rsidR="00000DA5" w:rsidRPr="003815D9" w14:paraId="05A789C5" w14:textId="77777777" w:rsidTr="003815D9">
        <w:tc>
          <w:tcPr>
            <w:tcW w:w="7295" w:type="dxa"/>
          </w:tcPr>
          <w:p w14:paraId="7C4BEA56" w14:textId="3897CF45" w:rsidR="00000DA5" w:rsidRPr="003815D9" w:rsidRDefault="00C97EDF" w:rsidP="00A24C01">
            <w:pPr>
              <w:pStyle w:val="Default"/>
              <w:rPr>
                <w:color w:val="0070C0"/>
              </w:rPr>
            </w:pPr>
            <w:r w:rsidRPr="003815D9">
              <w:rPr>
                <w:b/>
                <w:bCs/>
                <w:color w:val="0070C0"/>
              </w:rPr>
              <w:t xml:space="preserve">Residential </w:t>
            </w:r>
            <w:r w:rsidR="00A24C01">
              <w:rPr>
                <w:b/>
                <w:bCs/>
                <w:color w:val="0070C0"/>
              </w:rPr>
              <w:t xml:space="preserve"> Z</w:t>
            </w:r>
            <w:r w:rsidRPr="003815D9">
              <w:rPr>
                <w:b/>
                <w:bCs/>
                <w:color w:val="0070C0"/>
              </w:rPr>
              <w:t>one</w:t>
            </w:r>
            <w:r w:rsidR="00A24C01">
              <w:rPr>
                <w:b/>
                <w:bCs/>
                <w:color w:val="0070C0"/>
              </w:rPr>
              <w:t xml:space="preserve"> </w:t>
            </w:r>
            <w:r w:rsidRPr="003815D9">
              <w:rPr>
                <w:b/>
                <w:bCs/>
                <w:color w:val="0070C0"/>
              </w:rPr>
              <w:t xml:space="preserve"> </w:t>
            </w:r>
            <w:r w:rsidR="00000DA5" w:rsidRPr="003815D9">
              <w:rPr>
                <w:b/>
                <w:bCs/>
                <w:color w:val="0070C0"/>
              </w:rPr>
              <w:t>Standards</w:t>
            </w:r>
          </w:p>
          <w:p w14:paraId="21BBBB04" w14:textId="77777777" w:rsidR="00000DA5" w:rsidRPr="003815D9" w:rsidRDefault="00000DA5" w:rsidP="00A24C01">
            <w:pPr>
              <w:pStyle w:val="Disclaimer"/>
              <w:spacing w:after="100" w:afterAutospacing="1"/>
              <w:jc w:val="both"/>
              <w:rPr>
                <w:b w:val="0"/>
                <w:i w:val="0"/>
                <w:color w:val="4A442A" w:themeColor="background2" w:themeShade="40"/>
                <w:sz w:val="24"/>
                <w:szCs w:val="24"/>
              </w:rPr>
            </w:pPr>
          </w:p>
        </w:tc>
        <w:tc>
          <w:tcPr>
            <w:tcW w:w="7839" w:type="dxa"/>
          </w:tcPr>
          <w:p w14:paraId="70325197" w14:textId="6E30BD63" w:rsidR="00000DA5" w:rsidRPr="003815D9" w:rsidRDefault="00C97EDF" w:rsidP="00000DA5">
            <w:pPr>
              <w:pStyle w:val="Default"/>
              <w:rPr>
                <w:color w:val="0070C0"/>
              </w:rPr>
            </w:pPr>
            <w:r w:rsidRPr="003815D9">
              <w:rPr>
                <w:b/>
                <w:bCs/>
                <w:color w:val="0070C0"/>
              </w:rPr>
              <w:t>Resource,</w:t>
            </w:r>
            <w:r w:rsidR="00A24C01">
              <w:rPr>
                <w:b/>
                <w:bCs/>
                <w:color w:val="0070C0"/>
              </w:rPr>
              <w:t xml:space="preserve"> </w:t>
            </w:r>
            <w:r w:rsidRPr="003815D9">
              <w:rPr>
                <w:b/>
                <w:bCs/>
                <w:color w:val="0070C0"/>
              </w:rPr>
              <w:t xml:space="preserve"> Rural Living and Rural zone Standards</w:t>
            </w:r>
          </w:p>
          <w:p w14:paraId="3A024F43" w14:textId="77777777" w:rsidR="00000DA5" w:rsidRPr="003815D9" w:rsidRDefault="00000DA5" w:rsidP="00DB53F4">
            <w:pPr>
              <w:pStyle w:val="Disclaimer"/>
              <w:jc w:val="both"/>
              <w:rPr>
                <w:b w:val="0"/>
                <w:i w:val="0"/>
                <w:color w:val="4A442A" w:themeColor="background2" w:themeShade="40"/>
                <w:sz w:val="24"/>
                <w:szCs w:val="24"/>
              </w:rPr>
            </w:pPr>
          </w:p>
        </w:tc>
      </w:tr>
      <w:tr w:rsidR="00000DA5" w14:paraId="551D0B34" w14:textId="77777777" w:rsidTr="003815D9">
        <w:tc>
          <w:tcPr>
            <w:tcW w:w="7295" w:type="dxa"/>
          </w:tcPr>
          <w:p w14:paraId="187744AE" w14:textId="77777777" w:rsidR="00547226" w:rsidRPr="00547226" w:rsidRDefault="00547226" w:rsidP="00547226">
            <w:p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p>
          <w:p w14:paraId="5BA482C6" w14:textId="77777777" w:rsidR="00547226" w:rsidRDefault="00547226" w:rsidP="00547226">
            <w:pPr>
              <w:pStyle w:val="ListParagraph"/>
              <w:numPr>
                <w:ilvl w:val="0"/>
                <w:numId w:val="11"/>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sidRPr="00A24C01">
              <w:rPr>
                <w:rFonts w:ascii="Arial" w:eastAsiaTheme="minorEastAsia" w:hAnsi="Arial" w:cs="Arial"/>
                <w:color w:val="4A442A" w:themeColor="background2" w:themeShade="40"/>
                <w:sz w:val="24"/>
                <w:szCs w:val="24"/>
                <w:lang w:eastAsia="en-US"/>
              </w:rPr>
              <w:t xml:space="preserve">Not more than one (1) ancillary dwelling shall be approved on any lot. </w:t>
            </w:r>
          </w:p>
          <w:p w14:paraId="7CD800C4" w14:textId="77777777" w:rsidR="00547226" w:rsidRDefault="00547226" w:rsidP="00547226">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p>
          <w:p w14:paraId="298E67F1" w14:textId="77777777" w:rsidR="00547226" w:rsidRDefault="00547226" w:rsidP="00547226">
            <w:pPr>
              <w:pStyle w:val="ListParagraph"/>
              <w:numPr>
                <w:ilvl w:val="0"/>
                <w:numId w:val="14"/>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sidRPr="00D07969">
              <w:rPr>
                <w:rFonts w:ascii="Arial" w:eastAsiaTheme="minorEastAsia" w:hAnsi="Arial" w:cs="Arial"/>
                <w:color w:val="4A442A" w:themeColor="background2" w:themeShade="40"/>
                <w:sz w:val="24"/>
                <w:szCs w:val="24"/>
                <w:lang w:eastAsia="en-US"/>
              </w:rPr>
              <w:t>Maximum internal floor area of 70m2</w:t>
            </w:r>
          </w:p>
          <w:p w14:paraId="1621901E" w14:textId="77777777" w:rsidR="00547226" w:rsidRPr="00547226" w:rsidRDefault="00547226" w:rsidP="00547226">
            <w:pPr>
              <w:pStyle w:val="ListParagraph"/>
              <w:rPr>
                <w:rFonts w:ascii="Arial" w:eastAsiaTheme="minorEastAsia" w:hAnsi="Arial" w:cs="Arial"/>
                <w:color w:val="4A442A" w:themeColor="background2" w:themeShade="40"/>
                <w:sz w:val="24"/>
                <w:szCs w:val="24"/>
                <w:lang w:eastAsia="en-US"/>
              </w:rPr>
            </w:pPr>
          </w:p>
          <w:p w14:paraId="42C83838" w14:textId="20DBFAB0" w:rsidR="00547226" w:rsidRDefault="00547226" w:rsidP="00547226">
            <w:pPr>
              <w:pStyle w:val="ListParagraph"/>
              <w:numPr>
                <w:ilvl w:val="0"/>
                <w:numId w:val="16"/>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sidRPr="00C97EDF">
              <w:rPr>
                <w:rFonts w:ascii="Arial" w:eastAsiaTheme="minorEastAsia" w:hAnsi="Arial" w:cs="Arial"/>
                <w:color w:val="4A442A" w:themeColor="background2" w:themeShade="40"/>
                <w:sz w:val="24"/>
                <w:szCs w:val="24"/>
                <w:lang w:eastAsia="en-US"/>
              </w:rPr>
              <w:t>Consideration will be given to allowing an ancillary dwelling to have a plot ratio greater than 70m2, up to a maximum of 100m2, where it is built to the ‘deemed-to-comply’ standards set out in the R</w:t>
            </w:r>
            <w:r w:rsidRPr="003815D9">
              <w:rPr>
                <w:rFonts w:ascii="Arial" w:eastAsiaTheme="minorEastAsia" w:hAnsi="Arial" w:cs="Arial"/>
                <w:color w:val="4A442A" w:themeColor="background2" w:themeShade="40"/>
                <w:sz w:val="24"/>
                <w:szCs w:val="24"/>
                <w:lang w:eastAsia="en-US"/>
              </w:rPr>
              <w:t xml:space="preserve">esidential Design </w:t>
            </w:r>
            <w:r w:rsidRPr="00C97EDF">
              <w:rPr>
                <w:rFonts w:ascii="Arial" w:eastAsiaTheme="minorEastAsia" w:hAnsi="Arial" w:cs="Arial"/>
                <w:color w:val="4A442A" w:themeColor="background2" w:themeShade="40"/>
                <w:sz w:val="24"/>
                <w:szCs w:val="24"/>
                <w:lang w:eastAsia="en-US"/>
              </w:rPr>
              <w:t xml:space="preserve">Codes for ‘Aged and Dependent’ </w:t>
            </w:r>
            <w:r w:rsidRPr="00547226">
              <w:rPr>
                <w:rFonts w:ascii="Arial" w:eastAsiaTheme="minorEastAsia" w:hAnsi="Arial" w:cs="Arial"/>
                <w:color w:val="4A442A" w:themeColor="background2" w:themeShade="40"/>
                <w:sz w:val="24"/>
                <w:szCs w:val="24"/>
                <w:lang w:eastAsia="en-US"/>
              </w:rPr>
              <w:t>dwellings (i.e. universally accessible). These requirements will be imposed as a condition of development approval.</w:t>
            </w:r>
          </w:p>
          <w:p w14:paraId="4D700CF1" w14:textId="77777777" w:rsidR="00D07969" w:rsidRPr="007C0EB6" w:rsidRDefault="00D07969" w:rsidP="007C0EB6">
            <w:p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p>
          <w:p w14:paraId="2B87649B" w14:textId="585831F1" w:rsidR="00B05C4E" w:rsidRDefault="005A44E3" w:rsidP="00A24C01">
            <w:pPr>
              <w:pStyle w:val="ListParagraph"/>
              <w:numPr>
                <w:ilvl w:val="0"/>
                <w:numId w:val="14"/>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Ancillary Dwellings are located behind the street setback line to the main dwelling</w:t>
            </w:r>
          </w:p>
          <w:p w14:paraId="73034DC9" w14:textId="77777777" w:rsidR="007C0EB6" w:rsidRDefault="007C0EB6" w:rsidP="007C0EB6">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p>
          <w:p w14:paraId="6AC263AE" w14:textId="6DC47942" w:rsidR="007C0EB6" w:rsidRDefault="007C0EB6" w:rsidP="00A24C01">
            <w:pPr>
              <w:pStyle w:val="ListParagraph"/>
              <w:numPr>
                <w:ilvl w:val="0"/>
                <w:numId w:val="14"/>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T</w:t>
            </w:r>
            <w:r>
              <w:rPr>
                <w:rFonts w:ascii="Arial" w:eastAsiaTheme="minorEastAsia" w:hAnsi="Arial" w:cs="Arial"/>
                <w:color w:val="4A442A" w:themeColor="background2" w:themeShade="40"/>
                <w:sz w:val="24"/>
                <w:szCs w:val="24"/>
                <w:lang w:eastAsia="en-US"/>
              </w:rPr>
              <w:t>he ancillary dwelling does not preclude the main dwelling from meeting the required minimum open space and outdoor living area</w:t>
            </w:r>
          </w:p>
          <w:p w14:paraId="38C530A1" w14:textId="77777777" w:rsidR="00DF3A40" w:rsidRPr="00DF3A40" w:rsidRDefault="00DF3A40" w:rsidP="00DF3A40">
            <w:pPr>
              <w:pStyle w:val="ListParagraph"/>
              <w:rPr>
                <w:rFonts w:ascii="Arial" w:eastAsiaTheme="minorEastAsia" w:hAnsi="Arial" w:cs="Arial"/>
                <w:color w:val="4A442A" w:themeColor="background2" w:themeShade="40"/>
                <w:sz w:val="24"/>
                <w:szCs w:val="24"/>
                <w:lang w:eastAsia="en-US"/>
              </w:rPr>
            </w:pPr>
          </w:p>
          <w:p w14:paraId="6AE04508" w14:textId="40FD847F" w:rsidR="00DF3A40" w:rsidRDefault="00DF3A40" w:rsidP="00A24C01">
            <w:pPr>
              <w:pStyle w:val="ListParagraph"/>
              <w:numPr>
                <w:ilvl w:val="0"/>
                <w:numId w:val="14"/>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The ancillary dwelling complies with all other R-Code requirements including:</w:t>
            </w:r>
          </w:p>
          <w:p w14:paraId="646F0EA7" w14:textId="77777777" w:rsidR="00DF3A40" w:rsidRPr="00DF3A40" w:rsidRDefault="00DF3A40" w:rsidP="00DF3A40">
            <w:pPr>
              <w:pStyle w:val="ListParagraph"/>
              <w:rPr>
                <w:rFonts w:ascii="Arial" w:eastAsiaTheme="minorEastAsia" w:hAnsi="Arial" w:cs="Arial"/>
                <w:color w:val="4A442A" w:themeColor="background2" w:themeShade="40"/>
                <w:sz w:val="24"/>
                <w:szCs w:val="24"/>
                <w:lang w:eastAsia="en-US"/>
              </w:rPr>
            </w:pPr>
          </w:p>
          <w:p w14:paraId="6117ADAF" w14:textId="057AC1E6" w:rsidR="00DF3A40" w:rsidRDefault="00DF3A40" w:rsidP="00DF3A40">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-Solar access and ventilation</w:t>
            </w:r>
          </w:p>
          <w:p w14:paraId="661E2759" w14:textId="7D8C4229" w:rsidR="00DF3A40" w:rsidRDefault="00DF3A40" w:rsidP="00DF3A40">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-Building Height</w:t>
            </w:r>
          </w:p>
          <w:p w14:paraId="26D58E66" w14:textId="4DDFF061" w:rsidR="00DF3A40" w:rsidRDefault="00DF3A40" w:rsidP="00DF3A40">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lastRenderedPageBreak/>
              <w:t>-Lot boundary and street setbacks</w:t>
            </w:r>
          </w:p>
          <w:p w14:paraId="0C5987B8" w14:textId="21C0ED73" w:rsidR="00DF3A40" w:rsidRDefault="00DF3A40" w:rsidP="00DF3A40">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w:t>
            </w:r>
            <w:r w:rsidR="00ED6A51">
              <w:rPr>
                <w:rFonts w:ascii="Arial" w:eastAsiaTheme="minorEastAsia" w:hAnsi="Arial" w:cs="Arial"/>
                <w:color w:val="4A442A" w:themeColor="background2" w:themeShade="40"/>
                <w:sz w:val="24"/>
                <w:szCs w:val="24"/>
                <w:lang w:eastAsia="en-US"/>
              </w:rPr>
              <w:t>Overlooking</w:t>
            </w:r>
          </w:p>
          <w:p w14:paraId="2CCBCA48" w14:textId="38DEFD4F" w:rsidR="00ED6A51" w:rsidRDefault="00ED6A51" w:rsidP="00DF3A40">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-Overshadowing</w:t>
            </w:r>
          </w:p>
          <w:p w14:paraId="2493744A" w14:textId="37576503" w:rsidR="00ED6A51" w:rsidRDefault="00ED6A51" w:rsidP="00DF3A40">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-Landscaping</w:t>
            </w:r>
          </w:p>
          <w:p w14:paraId="172C3132" w14:textId="77777777" w:rsidR="007C0EB6" w:rsidRDefault="007C0EB6" w:rsidP="007C0EB6">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p>
          <w:p w14:paraId="6E7EDE5B" w14:textId="245B30E1" w:rsidR="007C0EB6" w:rsidRDefault="007C0EB6" w:rsidP="00A24C01">
            <w:pPr>
              <w:pStyle w:val="ListParagraph"/>
              <w:numPr>
                <w:ilvl w:val="0"/>
                <w:numId w:val="14"/>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An additional car bay is provided onsite</w:t>
            </w:r>
          </w:p>
          <w:p w14:paraId="4B5F4674" w14:textId="77777777" w:rsidR="005A44E3" w:rsidRPr="00A24C01" w:rsidRDefault="005A44E3" w:rsidP="00D07969">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p>
          <w:p w14:paraId="1D2F1E84" w14:textId="7DBE6AC5" w:rsidR="00C97EDF" w:rsidRDefault="00C97EDF" w:rsidP="007C0EB6">
            <w:pPr>
              <w:pStyle w:val="ListParagraph"/>
              <w:numPr>
                <w:ilvl w:val="0"/>
                <w:numId w:val="16"/>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sidRPr="00A24C01">
              <w:rPr>
                <w:rFonts w:ascii="Arial" w:eastAsiaTheme="minorEastAsia" w:hAnsi="Arial" w:cs="Arial"/>
                <w:color w:val="4A442A" w:themeColor="background2" w:themeShade="40"/>
                <w:sz w:val="24"/>
                <w:szCs w:val="24"/>
                <w:lang w:eastAsia="en-US"/>
              </w:rPr>
              <w:t xml:space="preserve">If the ancillary dwelling is within 800m of a train station on a high frequency rail route, measured in a straight line from the pedestrian entry to the train station platform to any part of the lot; or if the dwelling is within 250m of a high frequency bus route, measured in a straight line from along any part of the route to any part of a lot; then no additional parking bay is required. </w:t>
            </w:r>
          </w:p>
          <w:p w14:paraId="075D0889" w14:textId="13D7BD3F" w:rsidR="00000DA5" w:rsidRPr="00C97EDF" w:rsidRDefault="00000DA5" w:rsidP="007C0EB6">
            <w:pPr>
              <w:autoSpaceDE w:val="0"/>
              <w:autoSpaceDN w:val="0"/>
              <w:adjustRightInd w:val="0"/>
              <w:spacing w:after="0" w:line="240" w:lineRule="auto"/>
              <w:jc w:val="both"/>
              <w:rPr>
                <w:b/>
                <w:i/>
                <w:color w:val="1D1B11" w:themeColor="background2" w:themeShade="1A"/>
                <w:sz w:val="24"/>
                <w:szCs w:val="24"/>
              </w:rPr>
            </w:pPr>
          </w:p>
        </w:tc>
        <w:tc>
          <w:tcPr>
            <w:tcW w:w="7839" w:type="dxa"/>
          </w:tcPr>
          <w:p w14:paraId="225C0DCE" w14:textId="77777777" w:rsidR="00C97EDF" w:rsidRPr="00C97EDF" w:rsidRDefault="00C97EDF" w:rsidP="00C97EDF">
            <w:pPr>
              <w:autoSpaceDE w:val="0"/>
              <w:autoSpaceDN w:val="0"/>
              <w:adjustRightInd w:val="0"/>
              <w:spacing w:after="0" w:line="240" w:lineRule="auto"/>
              <w:rPr>
                <w:rFonts w:ascii="Arial" w:eastAsiaTheme="minorEastAsia" w:hAnsi="Arial" w:cs="Arial"/>
                <w:color w:val="1D1B11" w:themeColor="background2" w:themeShade="1A"/>
                <w:sz w:val="24"/>
                <w:szCs w:val="24"/>
                <w:lang w:eastAsia="en-US"/>
              </w:rPr>
            </w:pPr>
          </w:p>
          <w:p w14:paraId="7196E7D3" w14:textId="342312D5" w:rsidR="0020051B" w:rsidRDefault="00C97EDF" w:rsidP="0020051B">
            <w:pPr>
              <w:pStyle w:val="ListParagraph"/>
              <w:numPr>
                <w:ilvl w:val="0"/>
                <w:numId w:val="11"/>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sidRPr="00A24C01">
              <w:rPr>
                <w:rFonts w:ascii="Arial" w:eastAsiaTheme="minorEastAsia" w:hAnsi="Arial" w:cs="Arial"/>
                <w:color w:val="4A442A" w:themeColor="background2" w:themeShade="40"/>
                <w:sz w:val="24"/>
                <w:szCs w:val="24"/>
                <w:lang w:eastAsia="en-US"/>
              </w:rPr>
              <w:t xml:space="preserve">Not more than one (1) ancillary dwelling shall be approved on any lot. </w:t>
            </w:r>
          </w:p>
          <w:p w14:paraId="6221E0BD" w14:textId="77777777" w:rsidR="0020051B" w:rsidRPr="0020051B" w:rsidRDefault="0020051B" w:rsidP="0020051B">
            <w:pPr>
              <w:pStyle w:val="ListParagraph"/>
              <w:autoSpaceDE w:val="0"/>
              <w:autoSpaceDN w:val="0"/>
              <w:adjustRightInd w:val="0"/>
              <w:spacing w:after="0" w:line="240" w:lineRule="auto"/>
              <w:ind w:left="360"/>
              <w:jc w:val="both"/>
              <w:rPr>
                <w:rFonts w:ascii="Arial" w:eastAsiaTheme="minorEastAsia" w:hAnsi="Arial" w:cs="Arial"/>
                <w:color w:val="4A442A" w:themeColor="background2" w:themeShade="40"/>
                <w:sz w:val="24"/>
                <w:szCs w:val="24"/>
                <w:lang w:eastAsia="en-US"/>
              </w:rPr>
            </w:pPr>
          </w:p>
          <w:p w14:paraId="0ABADBF7" w14:textId="4089D5CF" w:rsidR="00C97EDF" w:rsidRDefault="00C97EDF" w:rsidP="00C97EDF">
            <w:pPr>
              <w:pStyle w:val="ListParagraph"/>
              <w:numPr>
                <w:ilvl w:val="0"/>
                <w:numId w:val="11"/>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sidRPr="003815D9">
              <w:rPr>
                <w:rFonts w:ascii="Arial" w:eastAsiaTheme="minorEastAsia" w:hAnsi="Arial" w:cs="Arial"/>
                <w:color w:val="4A442A" w:themeColor="background2" w:themeShade="40"/>
                <w:sz w:val="24"/>
                <w:szCs w:val="24"/>
                <w:lang w:eastAsia="en-US"/>
              </w:rPr>
              <w:t xml:space="preserve">The proposed ancillary dwelling must comply with the definitions outlined in </w:t>
            </w:r>
            <w:r w:rsidR="0054778F">
              <w:rPr>
                <w:rFonts w:ascii="Arial" w:eastAsiaTheme="minorEastAsia" w:hAnsi="Arial" w:cs="Arial"/>
                <w:color w:val="4A442A" w:themeColor="background2" w:themeShade="40"/>
                <w:sz w:val="24"/>
                <w:szCs w:val="24"/>
                <w:lang w:eastAsia="en-US"/>
              </w:rPr>
              <w:t>the R-Codes.</w:t>
            </w:r>
          </w:p>
          <w:p w14:paraId="689AE20D" w14:textId="77777777" w:rsidR="0020051B" w:rsidRPr="0020051B" w:rsidRDefault="0020051B" w:rsidP="0020051B">
            <w:p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p>
          <w:p w14:paraId="2209988F" w14:textId="39F84423" w:rsidR="00C97EDF" w:rsidRDefault="00C97EDF" w:rsidP="00C97EDF">
            <w:pPr>
              <w:pStyle w:val="ListParagraph"/>
              <w:numPr>
                <w:ilvl w:val="0"/>
                <w:numId w:val="11"/>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sidRPr="00A24C01">
              <w:rPr>
                <w:rFonts w:ascii="Arial" w:eastAsiaTheme="minorEastAsia" w:hAnsi="Arial" w:cs="Arial"/>
                <w:color w:val="4A442A" w:themeColor="background2" w:themeShade="40"/>
                <w:sz w:val="24"/>
                <w:szCs w:val="24"/>
                <w:lang w:eastAsia="en-US"/>
              </w:rPr>
              <w:t xml:space="preserve">The maximum internal floor area of the ancillary dwelling shall not generally exceed 100m2. The 100m2 is the total living area only and does not include verandahs, patios, pergolas, alfresco areas or carports/garages. </w:t>
            </w:r>
          </w:p>
          <w:p w14:paraId="66CF4108" w14:textId="77777777" w:rsidR="0020051B" w:rsidRPr="0020051B" w:rsidRDefault="0020051B" w:rsidP="0020051B">
            <w:p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p>
          <w:p w14:paraId="400986AC" w14:textId="1A688535" w:rsidR="00C97EDF" w:rsidRDefault="00C97EDF" w:rsidP="00C97EDF">
            <w:pPr>
              <w:pStyle w:val="ListParagraph"/>
              <w:numPr>
                <w:ilvl w:val="0"/>
                <w:numId w:val="11"/>
              </w:num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r w:rsidRPr="00A24C01">
              <w:rPr>
                <w:rFonts w:ascii="Arial" w:eastAsiaTheme="minorEastAsia" w:hAnsi="Arial" w:cs="Arial"/>
                <w:color w:val="4A442A" w:themeColor="background2" w:themeShade="40"/>
                <w:sz w:val="24"/>
                <w:szCs w:val="24"/>
                <w:lang w:eastAsia="en-US"/>
              </w:rPr>
              <w:t xml:space="preserve">The ancillary dwelling should be located behind the main building line unless otherwise approved by the City. </w:t>
            </w:r>
          </w:p>
          <w:p w14:paraId="5F96AEA0" w14:textId="77777777" w:rsidR="0020051B" w:rsidRPr="0020051B" w:rsidRDefault="0020051B" w:rsidP="0020051B">
            <w:pPr>
              <w:autoSpaceDE w:val="0"/>
              <w:autoSpaceDN w:val="0"/>
              <w:adjustRightInd w:val="0"/>
              <w:spacing w:after="0" w:line="240" w:lineRule="auto"/>
              <w:jc w:val="both"/>
              <w:rPr>
                <w:rFonts w:ascii="Arial" w:eastAsiaTheme="minorEastAsia" w:hAnsi="Arial" w:cs="Arial"/>
                <w:color w:val="4A442A" w:themeColor="background2" w:themeShade="40"/>
                <w:sz w:val="24"/>
                <w:szCs w:val="24"/>
                <w:lang w:eastAsia="en-US"/>
              </w:rPr>
            </w:pPr>
          </w:p>
          <w:p w14:paraId="522CADAF" w14:textId="61509E54" w:rsidR="00C97EDF" w:rsidRPr="00C97EDF" w:rsidRDefault="00C97EDF" w:rsidP="00C97EDF">
            <w:pPr>
              <w:pStyle w:val="Default"/>
              <w:numPr>
                <w:ilvl w:val="0"/>
                <w:numId w:val="11"/>
              </w:numPr>
              <w:jc w:val="both"/>
              <w:rPr>
                <w:color w:val="4A442A" w:themeColor="background2" w:themeShade="40"/>
              </w:rPr>
            </w:pPr>
            <w:r w:rsidRPr="00C97EDF">
              <w:rPr>
                <w:color w:val="4A442A" w:themeColor="background2" w:themeShade="40"/>
              </w:rPr>
              <w:t>The design, materials and colours of the ancillary dwelling shall match or complement those of the existing single house. Non-</w:t>
            </w:r>
            <w:r w:rsidRPr="003815D9">
              <w:rPr>
                <w:color w:val="4A442A" w:themeColor="background2" w:themeShade="40"/>
              </w:rPr>
              <w:t xml:space="preserve"> </w:t>
            </w:r>
            <w:r w:rsidRPr="00C97EDF">
              <w:rPr>
                <w:color w:val="4A442A" w:themeColor="background2" w:themeShade="40"/>
              </w:rPr>
              <w:t xml:space="preserve">reflective materials shall be used and the use of second hand materials is not permitted. </w:t>
            </w:r>
          </w:p>
          <w:p w14:paraId="48805032" w14:textId="77777777" w:rsidR="00C97EDF" w:rsidRPr="00C97EDF" w:rsidRDefault="00C97EDF" w:rsidP="00C97EDF">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171D2B91" w14:textId="3EAA3264" w:rsidR="00000DA5" w:rsidRPr="00C97EDF" w:rsidRDefault="00000DA5" w:rsidP="00C97EDF">
            <w:pPr>
              <w:pStyle w:val="Default"/>
              <w:ind w:left="720"/>
              <w:rPr>
                <w:color w:val="1D1B11" w:themeColor="background2" w:themeShade="1A"/>
                <w:sz w:val="23"/>
                <w:szCs w:val="23"/>
              </w:rPr>
            </w:pPr>
          </w:p>
        </w:tc>
      </w:tr>
    </w:tbl>
    <w:p w14:paraId="17FE7049" w14:textId="77777777" w:rsidR="00000DA5" w:rsidRDefault="00000DA5" w:rsidP="00000DA5">
      <w:pPr>
        <w:autoSpaceDE w:val="0"/>
        <w:autoSpaceDN w:val="0"/>
        <w:adjustRightInd w:val="0"/>
        <w:spacing w:after="0" w:line="240" w:lineRule="auto"/>
        <w:rPr>
          <w:rFonts w:ascii="Arial" w:eastAsiaTheme="minorEastAsia" w:hAnsi="Arial" w:cs="Arial"/>
          <w:color w:val="000000"/>
          <w:sz w:val="24"/>
          <w:szCs w:val="24"/>
          <w:lang w:eastAsia="en-US"/>
        </w:rPr>
      </w:pPr>
    </w:p>
    <w:p w14:paraId="1FE9DDCC" w14:textId="77777777" w:rsidR="003815D9" w:rsidRDefault="003815D9" w:rsidP="00000DA5">
      <w:pPr>
        <w:autoSpaceDE w:val="0"/>
        <w:autoSpaceDN w:val="0"/>
        <w:adjustRightInd w:val="0"/>
        <w:spacing w:after="0" w:line="240" w:lineRule="auto"/>
        <w:rPr>
          <w:rFonts w:ascii="Arial" w:eastAsiaTheme="minorEastAsia" w:hAnsi="Arial" w:cs="Arial"/>
          <w:color w:val="000000"/>
          <w:sz w:val="24"/>
          <w:szCs w:val="24"/>
          <w:lang w:eastAsia="en-US"/>
        </w:rPr>
      </w:pPr>
    </w:p>
    <w:sectPr w:rsidR="003815D9" w:rsidSect="00A24C01">
      <w:headerReference w:type="default" r:id="rId8"/>
      <w:footerReference w:type="even" r:id="rId9"/>
      <w:footerReference w:type="default" r:id="rId10"/>
      <w:headerReference w:type="first" r:id="rId11"/>
      <w:footerReference w:type="first" r:id="rId12"/>
      <w:pgSz w:w="11907" w:h="16839" w:code="9"/>
      <w:pgMar w:top="2552" w:right="720" w:bottom="720" w:left="72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4030" w14:textId="77777777" w:rsidR="00CB7513" w:rsidRDefault="00CB7513" w:rsidP="00206626">
      <w:pPr>
        <w:spacing w:after="0" w:line="240" w:lineRule="auto"/>
      </w:pPr>
      <w:r>
        <w:separator/>
      </w:r>
    </w:p>
  </w:endnote>
  <w:endnote w:type="continuationSeparator" w:id="0">
    <w:p w14:paraId="3CA612EA" w14:textId="77777777" w:rsidR="00CB7513" w:rsidRDefault="00CB7513" w:rsidP="0020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B78B" w14:textId="77777777" w:rsidR="006236C3" w:rsidRDefault="006236C3" w:rsidP="00710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5425C" w14:textId="77777777" w:rsidR="006236C3" w:rsidRDefault="006236C3" w:rsidP="00206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5F40" w14:textId="6C9BDD5B" w:rsidR="006236C3" w:rsidRPr="00A24C01" w:rsidRDefault="0056791E" w:rsidP="00206626">
    <w:pPr>
      <w:widowControl w:val="0"/>
      <w:autoSpaceDE w:val="0"/>
      <w:autoSpaceDN w:val="0"/>
      <w:adjustRightInd w:val="0"/>
      <w:spacing w:after="0" w:line="240" w:lineRule="auto"/>
      <w:rPr>
        <w:rFonts w:ascii="Arial" w:hAnsi="Arial" w:cs="Arial"/>
        <w:color w:val="595959" w:themeColor="text1" w:themeTint="A6"/>
        <w:sz w:val="14"/>
        <w:szCs w:val="14"/>
        <w:lang w:val="en-US"/>
      </w:rPr>
    </w:pPr>
    <w:r w:rsidRPr="00A24C01">
      <w:rPr>
        <w:rFonts w:ascii="Arial" w:hAnsi="Arial" w:cs="Arial"/>
        <w:color w:val="595959" w:themeColor="text1" w:themeTint="A6"/>
        <w:sz w:val="14"/>
        <w:szCs w:val="14"/>
        <w:lang w:val="en-US"/>
      </w:rPr>
      <w:t>Information Sheet</w:t>
    </w:r>
  </w:p>
  <w:p w14:paraId="0EADE0AD" w14:textId="77777777" w:rsidR="00A24C01" w:rsidRPr="00206626" w:rsidRDefault="00A24C01" w:rsidP="00A24C01">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r w:rsidRPr="00903D78">
      <w:rPr>
        <w:rFonts w:ascii="Arial" w:hAnsi="Arial" w:cs="Arial"/>
        <w:color w:val="595959" w:themeColor="text1" w:themeTint="A6"/>
        <w:sz w:val="14"/>
        <w:szCs w:val="14"/>
        <w:lang w:val="en-US"/>
      </w:rPr>
      <w:t>9 Coleville Crescent, Spearwood WA 6163  PO Box 1215, Bibra Lake DC WA 6965</w:t>
    </w:r>
    <w:r w:rsidRPr="00903D78">
      <w:rPr>
        <w:rFonts w:ascii="Times New Roman" w:hAnsi="Times New Roman" w:cs="Times New Roman"/>
        <w:color w:val="595959" w:themeColor="text1" w:themeTint="A6"/>
        <w:sz w:val="14"/>
        <w:szCs w:val="14"/>
        <w:lang w:val="en-US"/>
      </w:rPr>
      <w:t xml:space="preserve">  </w:t>
    </w:r>
    <w:r w:rsidRPr="00903D78">
      <w:rPr>
        <w:rFonts w:ascii="Arial" w:hAnsi="Arial" w:cs="Arial"/>
        <w:b/>
        <w:bCs/>
        <w:color w:val="595959" w:themeColor="text1" w:themeTint="A6"/>
        <w:sz w:val="14"/>
        <w:szCs w:val="14"/>
        <w:lang w:val="en-US"/>
      </w:rPr>
      <w:t>P</w:t>
    </w:r>
    <w:r w:rsidRPr="00903D78">
      <w:rPr>
        <w:rFonts w:ascii="Arial" w:hAnsi="Arial" w:cs="Arial"/>
        <w:color w:val="595959" w:themeColor="text1" w:themeTint="A6"/>
        <w:sz w:val="14"/>
        <w:szCs w:val="14"/>
        <w:lang w:val="en-US"/>
      </w:rPr>
      <w:t xml:space="preserve"> 08 9411 3444 </w:t>
    </w:r>
    <w:r w:rsidRPr="00903D78">
      <w:rPr>
        <w:rFonts w:ascii="Arial" w:hAnsi="Arial" w:cs="Arial"/>
        <w:b/>
        <w:bCs/>
        <w:color w:val="595959" w:themeColor="text1" w:themeTint="A6"/>
        <w:sz w:val="14"/>
        <w:szCs w:val="14"/>
        <w:lang w:val="en-US"/>
      </w:rPr>
      <w:t xml:space="preserve">F </w:t>
    </w:r>
    <w:r w:rsidRPr="00903D78">
      <w:rPr>
        <w:rFonts w:ascii="Arial" w:hAnsi="Arial" w:cs="Arial"/>
        <w:color w:val="595959" w:themeColor="text1" w:themeTint="A6"/>
        <w:sz w:val="14"/>
        <w:szCs w:val="14"/>
        <w:lang w:val="en-US"/>
      </w:rPr>
      <w:t>08 9411 3333</w:t>
    </w:r>
    <w:r>
      <w:rPr>
        <w:rFonts w:ascii="Arial" w:hAnsi="Arial" w:cs="Arial"/>
        <w:color w:val="595959" w:themeColor="text1" w:themeTint="A6"/>
        <w:sz w:val="14"/>
        <w:szCs w:val="14"/>
        <w:lang w:val="en-US"/>
      </w:rPr>
      <w:t xml:space="preserve">  </w:t>
    </w:r>
    <w:r w:rsidRPr="00AF76D4">
      <w:rPr>
        <w:rFonts w:ascii="Arial" w:hAnsi="Arial" w:cs="Arial"/>
        <w:b/>
        <w:color w:val="595959" w:themeColor="text1" w:themeTint="A6"/>
        <w:sz w:val="14"/>
        <w:szCs w:val="14"/>
        <w:lang w:val="en-US"/>
      </w:rPr>
      <w:t>cockburn.wa.gov.au</w:t>
    </w:r>
  </w:p>
  <w:p w14:paraId="08250141" w14:textId="77777777" w:rsidR="00A24C01" w:rsidRPr="00206626" w:rsidRDefault="00A24C01" w:rsidP="00206626">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ED2D" w14:textId="489B6257" w:rsidR="006236C3" w:rsidRDefault="00E5365F" w:rsidP="00710813">
    <w:pPr>
      <w:widowControl w:val="0"/>
      <w:autoSpaceDE w:val="0"/>
      <w:autoSpaceDN w:val="0"/>
      <w:adjustRightInd w:val="0"/>
      <w:spacing w:after="0" w:line="240" w:lineRule="auto"/>
      <w:rPr>
        <w:rFonts w:ascii="Arial" w:hAnsi="Arial" w:cs="Arial"/>
        <w:b/>
        <w:color w:val="595959" w:themeColor="text1" w:themeTint="A6"/>
        <w:sz w:val="14"/>
        <w:szCs w:val="14"/>
        <w:lang w:val="en-US"/>
      </w:rPr>
    </w:pPr>
    <w:r>
      <w:rPr>
        <w:rFonts w:ascii="Arial" w:hAnsi="Arial" w:cs="Arial"/>
        <w:b/>
        <w:color w:val="595959" w:themeColor="text1" w:themeTint="A6"/>
        <w:sz w:val="14"/>
        <w:szCs w:val="14"/>
        <w:lang w:val="en-US"/>
      </w:rPr>
      <w:t>Information Sheet</w:t>
    </w:r>
  </w:p>
  <w:p w14:paraId="05E085A1" w14:textId="77777777" w:rsidR="00A24C01" w:rsidRPr="00206626" w:rsidRDefault="00A24C01" w:rsidP="00A24C01">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r w:rsidRPr="00903D78">
      <w:rPr>
        <w:rFonts w:ascii="Arial" w:hAnsi="Arial" w:cs="Arial"/>
        <w:color w:val="595959" w:themeColor="text1" w:themeTint="A6"/>
        <w:sz w:val="14"/>
        <w:szCs w:val="14"/>
        <w:lang w:val="en-US"/>
      </w:rPr>
      <w:t>9 Coleville Crescent, Spearwood WA 6163  PO Box 1215, Bibra Lake DC WA 6965</w:t>
    </w:r>
    <w:r w:rsidRPr="00903D78">
      <w:rPr>
        <w:rFonts w:ascii="Times New Roman" w:hAnsi="Times New Roman" w:cs="Times New Roman"/>
        <w:color w:val="595959" w:themeColor="text1" w:themeTint="A6"/>
        <w:sz w:val="14"/>
        <w:szCs w:val="14"/>
        <w:lang w:val="en-US"/>
      </w:rPr>
      <w:t xml:space="preserve">  </w:t>
    </w:r>
    <w:r w:rsidRPr="00903D78">
      <w:rPr>
        <w:rFonts w:ascii="Arial" w:hAnsi="Arial" w:cs="Arial"/>
        <w:b/>
        <w:bCs/>
        <w:color w:val="595959" w:themeColor="text1" w:themeTint="A6"/>
        <w:sz w:val="14"/>
        <w:szCs w:val="14"/>
        <w:lang w:val="en-US"/>
      </w:rPr>
      <w:t>P</w:t>
    </w:r>
    <w:r w:rsidRPr="00903D78">
      <w:rPr>
        <w:rFonts w:ascii="Arial" w:hAnsi="Arial" w:cs="Arial"/>
        <w:color w:val="595959" w:themeColor="text1" w:themeTint="A6"/>
        <w:sz w:val="14"/>
        <w:szCs w:val="14"/>
        <w:lang w:val="en-US"/>
      </w:rPr>
      <w:t xml:space="preserve"> 08 9411 3444 </w:t>
    </w:r>
    <w:r w:rsidRPr="00903D78">
      <w:rPr>
        <w:rFonts w:ascii="Arial" w:hAnsi="Arial" w:cs="Arial"/>
        <w:b/>
        <w:bCs/>
        <w:color w:val="595959" w:themeColor="text1" w:themeTint="A6"/>
        <w:sz w:val="14"/>
        <w:szCs w:val="14"/>
        <w:lang w:val="en-US"/>
      </w:rPr>
      <w:t xml:space="preserve">F </w:t>
    </w:r>
    <w:r w:rsidRPr="00903D78">
      <w:rPr>
        <w:rFonts w:ascii="Arial" w:hAnsi="Arial" w:cs="Arial"/>
        <w:color w:val="595959" w:themeColor="text1" w:themeTint="A6"/>
        <w:sz w:val="14"/>
        <w:szCs w:val="14"/>
        <w:lang w:val="en-US"/>
      </w:rPr>
      <w:t>08 9411 3333</w:t>
    </w:r>
    <w:r>
      <w:rPr>
        <w:rFonts w:ascii="Arial" w:hAnsi="Arial" w:cs="Arial"/>
        <w:color w:val="595959" w:themeColor="text1" w:themeTint="A6"/>
        <w:sz w:val="14"/>
        <w:szCs w:val="14"/>
        <w:lang w:val="en-US"/>
      </w:rPr>
      <w:t xml:space="preserve">  </w:t>
    </w:r>
    <w:r w:rsidRPr="00AF76D4">
      <w:rPr>
        <w:rFonts w:ascii="Arial" w:hAnsi="Arial" w:cs="Arial"/>
        <w:b/>
        <w:color w:val="595959" w:themeColor="text1" w:themeTint="A6"/>
        <w:sz w:val="14"/>
        <w:szCs w:val="14"/>
        <w:lang w:val="en-US"/>
      </w:rPr>
      <w:t>cockburn.wa.gov.au</w:t>
    </w:r>
  </w:p>
  <w:p w14:paraId="11731828" w14:textId="77777777" w:rsidR="00A24C01" w:rsidRPr="00710813" w:rsidRDefault="00A24C01" w:rsidP="00A24C01">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p w14:paraId="1BADE081" w14:textId="77777777" w:rsidR="00A24C01" w:rsidRPr="00710813" w:rsidRDefault="00A24C01" w:rsidP="00710813">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27FE" w14:textId="77777777" w:rsidR="00CB7513" w:rsidRDefault="00CB7513" w:rsidP="00206626">
      <w:pPr>
        <w:spacing w:after="0" w:line="240" w:lineRule="auto"/>
      </w:pPr>
      <w:r>
        <w:separator/>
      </w:r>
    </w:p>
  </w:footnote>
  <w:footnote w:type="continuationSeparator" w:id="0">
    <w:p w14:paraId="5B0ED37C" w14:textId="77777777" w:rsidR="00CB7513" w:rsidRDefault="00CB7513" w:rsidP="0020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D1A2" w14:textId="65D6B291" w:rsidR="006236C3" w:rsidRDefault="008C06F6" w:rsidP="00206626">
    <w:pPr>
      <w:tabs>
        <w:tab w:val="left" w:pos="3461"/>
      </w:tabs>
      <w:rPr>
        <w:rFonts w:ascii="Tahoma" w:hAnsi="Tahoma" w:cs="Tahoma"/>
        <w:sz w:val="16"/>
      </w:rPr>
    </w:pPr>
    <w:r w:rsidRPr="006D4812">
      <w:rPr>
        <w:rFonts w:ascii="Arial" w:hAnsi="Arial" w:cs="Arial"/>
        <w:i/>
        <w:noProof/>
        <w:sz w:val="32"/>
        <w:szCs w:val="32"/>
      </w:rPr>
      <w:drawing>
        <wp:anchor distT="0" distB="0" distL="114300" distR="114300" simplePos="0" relativeHeight="251666432" behindDoc="1" locked="0" layoutInCell="1" allowOverlap="1" wp14:anchorId="788D5165" wp14:editId="7FB74703">
          <wp:simplePos x="0" y="0"/>
          <wp:positionH relativeFrom="page">
            <wp:posOffset>-201518</wp:posOffset>
          </wp:positionH>
          <wp:positionV relativeFrom="page">
            <wp:posOffset>-102939</wp:posOffset>
          </wp:positionV>
          <wp:extent cx="7916540" cy="163932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16540" cy="163932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236C3">
      <w:rPr>
        <w:rFonts w:ascii="Tahoma" w:hAnsi="Tahoma" w:cs="Tahoma"/>
        <w:noProof/>
        <w:sz w:val="16"/>
      </w:rPr>
      <w:drawing>
        <wp:anchor distT="0" distB="0" distL="114300" distR="114300" simplePos="0" relativeHeight="251659264" behindDoc="1" locked="0" layoutInCell="1" allowOverlap="1" wp14:anchorId="6C6E32B1" wp14:editId="6C8FDB23">
          <wp:simplePos x="0" y="0"/>
          <wp:positionH relativeFrom="page">
            <wp:align>left</wp:align>
          </wp:positionH>
          <wp:positionV relativeFrom="page">
            <wp:align>top</wp:align>
          </wp:positionV>
          <wp:extent cx="0" cy="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_Header_01.png"/>
                  <pic:cNvPicPr/>
                </pic:nvPicPr>
                <pic:blipFill>
                  <a:blip r:embed="rId2">
                    <a:extLst>
                      <a:ext uri="{28A0092B-C50C-407E-A947-70E740481C1C}">
                        <a14:useLocalDpi xmlns:a14="http://schemas.microsoft.com/office/drawing/2010/main" val="0"/>
                      </a:ext>
                    </a:extLst>
                  </a:blip>
                  <a:stretch>
                    <a:fillRect/>
                  </a:stretch>
                </pic:blipFill>
                <pic:spPr>
                  <a:xfrm>
                    <a:off x="0" y="0"/>
                    <a:ext cx="0" cy="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F2805AD" w14:textId="77777777" w:rsidR="006236C3" w:rsidRDefault="00623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BF82" w14:textId="5BF6621A" w:rsidR="006236C3" w:rsidRDefault="008C06F6">
    <w:pPr>
      <w:pStyle w:val="Header"/>
    </w:pPr>
    <w:r w:rsidRPr="006D4812">
      <w:rPr>
        <w:rFonts w:ascii="Arial" w:hAnsi="Arial" w:cs="Arial"/>
        <w:i/>
        <w:noProof/>
        <w:sz w:val="32"/>
        <w:szCs w:val="32"/>
      </w:rPr>
      <w:drawing>
        <wp:anchor distT="0" distB="0" distL="114300" distR="114300" simplePos="0" relativeHeight="251664384" behindDoc="1" locked="0" layoutInCell="1" allowOverlap="1" wp14:anchorId="32CBE06C" wp14:editId="61CA2995">
          <wp:simplePos x="0" y="0"/>
          <wp:positionH relativeFrom="page">
            <wp:posOffset>-202033</wp:posOffset>
          </wp:positionH>
          <wp:positionV relativeFrom="page">
            <wp:posOffset>-78826</wp:posOffset>
          </wp:positionV>
          <wp:extent cx="7915910" cy="1638935"/>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15910" cy="163893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EE7"/>
    <w:multiLevelType w:val="hybridMultilevel"/>
    <w:tmpl w:val="6BF63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627D4"/>
    <w:multiLevelType w:val="hybridMultilevel"/>
    <w:tmpl w:val="149AB2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67B87"/>
    <w:multiLevelType w:val="hybridMultilevel"/>
    <w:tmpl w:val="9EAE246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F88629E"/>
    <w:multiLevelType w:val="hybridMultilevel"/>
    <w:tmpl w:val="EBFA92A0"/>
    <w:lvl w:ilvl="0" w:tplc="66DA16C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11D75"/>
    <w:multiLevelType w:val="hybridMultilevel"/>
    <w:tmpl w:val="865C17C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ED0234"/>
    <w:multiLevelType w:val="hybridMultilevel"/>
    <w:tmpl w:val="2A9646D4"/>
    <w:lvl w:ilvl="0" w:tplc="860A938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4E09CE"/>
    <w:multiLevelType w:val="hybridMultilevel"/>
    <w:tmpl w:val="8D4400C4"/>
    <w:lvl w:ilvl="0" w:tplc="66DA16C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2C1E65"/>
    <w:multiLevelType w:val="hybridMultilevel"/>
    <w:tmpl w:val="19D2F9D2"/>
    <w:lvl w:ilvl="0" w:tplc="DFF2EB50">
      <w:start w:val="1"/>
      <w:numFmt w:val="lowerLetter"/>
      <w:lvlText w:val="(%1)"/>
      <w:lvlJc w:val="left"/>
      <w:pPr>
        <w:ind w:left="975" w:hanging="61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9B1A09"/>
    <w:multiLevelType w:val="hybridMultilevel"/>
    <w:tmpl w:val="0204A3A4"/>
    <w:lvl w:ilvl="0" w:tplc="DFE60FC8">
      <w:start w:val="1"/>
      <w:numFmt w:val="bullet"/>
      <w:lvlText w:val=""/>
      <w:lvlJc w:val="left"/>
      <w:pPr>
        <w:ind w:left="1434" w:hanging="360"/>
      </w:pPr>
      <w:rPr>
        <w:rFonts w:ascii="Symbol" w:hAnsi="Symbol" w:hint="default"/>
        <w:sz w:val="24"/>
        <w:szCs w:val="24"/>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3A447E3D"/>
    <w:multiLevelType w:val="hybridMultilevel"/>
    <w:tmpl w:val="73E6C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D8322C"/>
    <w:multiLevelType w:val="hybridMultilevel"/>
    <w:tmpl w:val="0878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A41C40"/>
    <w:multiLevelType w:val="hybridMultilevel"/>
    <w:tmpl w:val="3F06141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F16E82"/>
    <w:multiLevelType w:val="hybridMultilevel"/>
    <w:tmpl w:val="8ACAE99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EE2DCA"/>
    <w:multiLevelType w:val="hybridMultilevel"/>
    <w:tmpl w:val="EACC5722"/>
    <w:lvl w:ilvl="0" w:tplc="44527C04">
      <w:start w:val="1"/>
      <w:numFmt w:val="lowerLetter"/>
      <w:lvlText w:val="%1)"/>
      <w:lvlJc w:val="left"/>
      <w:pPr>
        <w:ind w:left="360" w:hanging="360"/>
      </w:pPr>
      <w:rPr>
        <w:rFonts w:ascii="Arial" w:eastAsiaTheme="minorEastAsia"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0D622A7"/>
    <w:multiLevelType w:val="hybridMultilevel"/>
    <w:tmpl w:val="4D0AE748"/>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0F364F"/>
    <w:multiLevelType w:val="hybridMultilevel"/>
    <w:tmpl w:val="515CAB82"/>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4090412">
    <w:abstractNumId w:val="11"/>
  </w:num>
  <w:num w:numId="2" w16cid:durableId="901716899">
    <w:abstractNumId w:val="12"/>
  </w:num>
  <w:num w:numId="3" w16cid:durableId="748384191">
    <w:abstractNumId w:val="15"/>
  </w:num>
  <w:num w:numId="4" w16cid:durableId="1062026259">
    <w:abstractNumId w:val="7"/>
  </w:num>
  <w:num w:numId="5" w16cid:durableId="1697149702">
    <w:abstractNumId w:val="14"/>
  </w:num>
  <w:num w:numId="6" w16cid:durableId="1297443565">
    <w:abstractNumId w:val="8"/>
  </w:num>
  <w:num w:numId="7" w16cid:durableId="1125584165">
    <w:abstractNumId w:val="4"/>
  </w:num>
  <w:num w:numId="8" w16cid:durableId="1064448495">
    <w:abstractNumId w:val="9"/>
  </w:num>
  <w:num w:numId="9" w16cid:durableId="1156645455">
    <w:abstractNumId w:val="3"/>
  </w:num>
  <w:num w:numId="10" w16cid:durableId="1797261197">
    <w:abstractNumId w:val="6"/>
  </w:num>
  <w:num w:numId="11" w16cid:durableId="2011370473">
    <w:abstractNumId w:val="2"/>
  </w:num>
  <w:num w:numId="12" w16cid:durableId="986785233">
    <w:abstractNumId w:val="1"/>
  </w:num>
  <w:num w:numId="13" w16cid:durableId="1591083142">
    <w:abstractNumId w:val="10"/>
  </w:num>
  <w:num w:numId="14" w16cid:durableId="654726390">
    <w:abstractNumId w:val="13"/>
  </w:num>
  <w:num w:numId="15" w16cid:durableId="1664507870">
    <w:abstractNumId w:val="0"/>
  </w:num>
  <w:num w:numId="16" w16cid:durableId="1728724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626"/>
    <w:rsid w:val="00000DA5"/>
    <w:rsid w:val="00102E57"/>
    <w:rsid w:val="001241A3"/>
    <w:rsid w:val="001A3060"/>
    <w:rsid w:val="0020051B"/>
    <w:rsid w:val="00206626"/>
    <w:rsid w:val="00343752"/>
    <w:rsid w:val="00375AD2"/>
    <w:rsid w:val="003815D9"/>
    <w:rsid w:val="0039340A"/>
    <w:rsid w:val="004C2B38"/>
    <w:rsid w:val="004D2E92"/>
    <w:rsid w:val="00547226"/>
    <w:rsid w:val="0054778F"/>
    <w:rsid w:val="0056791E"/>
    <w:rsid w:val="005902F6"/>
    <w:rsid w:val="005A36D7"/>
    <w:rsid w:val="005A44E3"/>
    <w:rsid w:val="006236C3"/>
    <w:rsid w:val="00634A09"/>
    <w:rsid w:val="00690061"/>
    <w:rsid w:val="00710813"/>
    <w:rsid w:val="0076320D"/>
    <w:rsid w:val="00771528"/>
    <w:rsid w:val="007924DB"/>
    <w:rsid w:val="007A1159"/>
    <w:rsid w:val="007C0EB6"/>
    <w:rsid w:val="00854536"/>
    <w:rsid w:val="008C06F6"/>
    <w:rsid w:val="008E4340"/>
    <w:rsid w:val="00922003"/>
    <w:rsid w:val="009706F6"/>
    <w:rsid w:val="00A24C01"/>
    <w:rsid w:val="00A833A9"/>
    <w:rsid w:val="00AA5D11"/>
    <w:rsid w:val="00B05C4E"/>
    <w:rsid w:val="00B973F9"/>
    <w:rsid w:val="00BE389A"/>
    <w:rsid w:val="00C1498F"/>
    <w:rsid w:val="00C402E3"/>
    <w:rsid w:val="00C644D5"/>
    <w:rsid w:val="00C97EDF"/>
    <w:rsid w:val="00CB7513"/>
    <w:rsid w:val="00D07969"/>
    <w:rsid w:val="00D251F0"/>
    <w:rsid w:val="00D96D5C"/>
    <w:rsid w:val="00DB53F4"/>
    <w:rsid w:val="00DF3A40"/>
    <w:rsid w:val="00DF3DE3"/>
    <w:rsid w:val="00E5365F"/>
    <w:rsid w:val="00E77630"/>
    <w:rsid w:val="00ED6A51"/>
    <w:rsid w:val="00EE44B0"/>
    <w:rsid w:val="00F71B0D"/>
    <w:rsid w:val="00F72F56"/>
    <w:rsid w:val="00FE3E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F88BB"/>
  <w15:docId w15:val="{7F64D07B-29AB-4217-9453-8D4574D1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26"/>
    <w:pPr>
      <w:spacing w:after="200" w:line="252" w:lineRule="auto"/>
    </w:pPr>
    <w:rPr>
      <w:rFonts w:asciiTheme="majorHAnsi" w:eastAsiaTheme="majorEastAsia" w:hAnsiTheme="majorHAnsi" w:cstheme="majorBidi"/>
      <w:sz w:val="22"/>
      <w:szCs w:val="22"/>
      <w:lang w:eastAsia="en-AU"/>
    </w:rPr>
  </w:style>
  <w:style w:type="paragraph" w:styleId="Heading3">
    <w:name w:val="heading 3"/>
    <w:basedOn w:val="Normal"/>
    <w:next w:val="Normal"/>
    <w:link w:val="Heading3Char"/>
    <w:semiHidden/>
    <w:unhideWhenUsed/>
    <w:qFormat/>
    <w:rsid w:val="00634A09"/>
    <w:pPr>
      <w:keepNext/>
      <w:spacing w:after="0" w:line="240" w:lineRule="auto"/>
      <w:jc w:val="both"/>
      <w:outlineLvl w:val="2"/>
    </w:pPr>
    <w:rPr>
      <w:rFonts w:ascii="Arial" w:eastAsia="Times New Roman" w:hAnsi="Arial"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autoRedefine/>
    <w:qFormat/>
    <w:rsid w:val="00D251F0"/>
    <w:pPr>
      <w:spacing w:after="0"/>
    </w:pPr>
    <w:rPr>
      <w:rFonts w:ascii="Arial" w:hAnsi="Arial" w:cs="Arial"/>
      <w:b/>
      <w:bCs/>
      <w:color w:val="0C649D"/>
      <w:sz w:val="24"/>
      <w:szCs w:val="24"/>
    </w:rPr>
  </w:style>
  <w:style w:type="paragraph" w:customStyle="1" w:styleId="TableBody">
    <w:name w:val="Table Body"/>
    <w:basedOn w:val="Normal"/>
    <w:autoRedefine/>
    <w:qFormat/>
    <w:rsid w:val="00634A09"/>
    <w:pPr>
      <w:spacing w:after="0"/>
      <w:ind w:right="-108"/>
    </w:pPr>
    <w:rPr>
      <w:rFonts w:ascii="Arial" w:hAnsi="Arial" w:cs="Arial"/>
      <w:b/>
      <w:color w:val="0070C0"/>
      <w:sz w:val="24"/>
      <w:szCs w:val="24"/>
    </w:rPr>
  </w:style>
  <w:style w:type="paragraph" w:customStyle="1" w:styleId="ZoningHeadingSub">
    <w:name w:val="Zoning Heading Sub"/>
    <w:basedOn w:val="TableBody"/>
    <w:qFormat/>
    <w:rsid w:val="001241A3"/>
    <w:pPr>
      <w:widowControl w:val="0"/>
      <w:ind w:right="357"/>
    </w:pPr>
    <w:rPr>
      <w:sz w:val="28"/>
      <w:szCs w:val="28"/>
    </w:rPr>
  </w:style>
  <w:style w:type="character" w:customStyle="1" w:styleId="DarkTableBody">
    <w:name w:val="Dark Table Body"/>
    <w:basedOn w:val="DefaultParagraphFont"/>
    <w:uiPriority w:val="1"/>
    <w:qFormat/>
    <w:rsid w:val="00206626"/>
    <w:rPr>
      <w:rFonts w:ascii="Arial" w:hAnsi="Arial"/>
      <w:b w:val="0"/>
      <w:bCs w:val="0"/>
      <w:i w:val="0"/>
      <w:iCs w:val="0"/>
      <w:color w:val="000000" w:themeColor="text1"/>
      <w:sz w:val="20"/>
      <w:szCs w:val="20"/>
    </w:rPr>
  </w:style>
  <w:style w:type="paragraph" w:customStyle="1" w:styleId="Disclaimer">
    <w:name w:val="Disclaimer"/>
    <w:basedOn w:val="TableBody"/>
    <w:qFormat/>
    <w:rsid w:val="00206626"/>
    <w:pPr>
      <w:widowControl w:val="0"/>
      <w:ind w:right="357"/>
    </w:pPr>
    <w:rPr>
      <w:i/>
      <w:sz w:val="18"/>
      <w:szCs w:val="18"/>
    </w:rPr>
  </w:style>
  <w:style w:type="paragraph" w:customStyle="1" w:styleId="ZoningHeader">
    <w:name w:val="Zoning Header"/>
    <w:basedOn w:val="TableBody"/>
    <w:qFormat/>
    <w:rsid w:val="00206626"/>
    <w:pPr>
      <w:widowControl w:val="0"/>
      <w:ind w:right="357"/>
    </w:pPr>
    <w:rPr>
      <w:b w:val="0"/>
      <w:bCs/>
      <w:color w:val="0C649D"/>
      <w:sz w:val="52"/>
      <w:szCs w:val="52"/>
    </w:rPr>
  </w:style>
  <w:style w:type="paragraph" w:customStyle="1" w:styleId="ZoningSubHeading">
    <w:name w:val="Zoning Sub Heading"/>
    <w:basedOn w:val="TableBody"/>
    <w:qFormat/>
    <w:rsid w:val="00206626"/>
    <w:pPr>
      <w:widowControl w:val="0"/>
      <w:ind w:right="357"/>
    </w:pPr>
    <w:rPr>
      <w:sz w:val="28"/>
      <w:szCs w:val="28"/>
    </w:rPr>
  </w:style>
  <w:style w:type="paragraph" w:styleId="Header">
    <w:name w:val="header"/>
    <w:basedOn w:val="Normal"/>
    <w:link w:val="HeaderChar"/>
    <w:uiPriority w:val="99"/>
    <w:unhideWhenUsed/>
    <w:rsid w:val="002066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6626"/>
    <w:rPr>
      <w:rFonts w:asciiTheme="majorHAnsi" w:eastAsiaTheme="majorEastAsia" w:hAnsiTheme="majorHAnsi" w:cstheme="majorBidi"/>
      <w:sz w:val="22"/>
      <w:szCs w:val="22"/>
      <w:lang w:eastAsia="en-AU"/>
    </w:rPr>
  </w:style>
  <w:style w:type="paragraph" w:styleId="Footer">
    <w:name w:val="footer"/>
    <w:basedOn w:val="Normal"/>
    <w:link w:val="FooterChar"/>
    <w:uiPriority w:val="99"/>
    <w:unhideWhenUsed/>
    <w:rsid w:val="002066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6626"/>
    <w:rPr>
      <w:rFonts w:asciiTheme="majorHAnsi" w:eastAsiaTheme="majorEastAsia" w:hAnsiTheme="majorHAnsi" w:cstheme="majorBidi"/>
      <w:sz w:val="22"/>
      <w:szCs w:val="22"/>
      <w:lang w:eastAsia="en-AU"/>
    </w:rPr>
  </w:style>
  <w:style w:type="character" w:styleId="PageNumber">
    <w:name w:val="page number"/>
    <w:basedOn w:val="DefaultParagraphFont"/>
    <w:uiPriority w:val="99"/>
    <w:semiHidden/>
    <w:unhideWhenUsed/>
    <w:rsid w:val="00206626"/>
  </w:style>
  <w:style w:type="paragraph" w:styleId="BalloonText">
    <w:name w:val="Balloon Text"/>
    <w:basedOn w:val="Normal"/>
    <w:link w:val="BalloonTextChar"/>
    <w:uiPriority w:val="99"/>
    <w:semiHidden/>
    <w:unhideWhenUsed/>
    <w:rsid w:val="007108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813"/>
    <w:rPr>
      <w:rFonts w:ascii="Lucida Grande" w:eastAsiaTheme="majorEastAsia" w:hAnsi="Lucida Grande" w:cs="Lucida Grande"/>
      <w:sz w:val="18"/>
      <w:szCs w:val="18"/>
      <w:lang w:eastAsia="en-AU"/>
    </w:rPr>
  </w:style>
  <w:style w:type="paragraph" w:customStyle="1" w:styleId="PropLandInformation">
    <w:name w:val="Prop &amp; Land Information"/>
    <w:basedOn w:val="SectionHeading"/>
    <w:autoRedefine/>
    <w:qFormat/>
    <w:rsid w:val="004D2E92"/>
    <w:pPr>
      <w:tabs>
        <w:tab w:val="left" w:pos="16073"/>
      </w:tabs>
      <w:spacing w:before="240"/>
    </w:pPr>
  </w:style>
  <w:style w:type="table" w:styleId="TableGrid">
    <w:name w:val="Table Grid"/>
    <w:basedOn w:val="TableNormal"/>
    <w:uiPriority w:val="59"/>
    <w:rsid w:val="00634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34A09"/>
    <w:rPr>
      <w:rFonts w:ascii="Arial" w:eastAsia="Times New Roman" w:hAnsi="Arial" w:cs="Times New Roman"/>
      <w:b/>
      <w:szCs w:val="20"/>
    </w:rPr>
  </w:style>
  <w:style w:type="paragraph" w:styleId="BodyTextIndent3">
    <w:name w:val="Body Text Indent 3"/>
    <w:basedOn w:val="Normal"/>
    <w:link w:val="BodyTextIndent3Char"/>
    <w:unhideWhenUsed/>
    <w:rsid w:val="00634A09"/>
    <w:pPr>
      <w:tabs>
        <w:tab w:val="left" w:pos="567"/>
      </w:tabs>
      <w:suppressAutoHyphens/>
      <w:spacing w:after="0" w:line="240" w:lineRule="auto"/>
      <w:ind w:left="567" w:hanging="567"/>
      <w:jc w:val="both"/>
    </w:pPr>
    <w:rPr>
      <w:rFonts w:ascii="Arial" w:eastAsia="Times New Roman" w:hAnsi="Arial" w:cs="Times New Roman"/>
      <w:spacing w:val="-2"/>
      <w:sz w:val="24"/>
      <w:szCs w:val="20"/>
      <w:lang w:eastAsia="en-US"/>
    </w:rPr>
  </w:style>
  <w:style w:type="character" w:customStyle="1" w:styleId="BodyTextIndent3Char">
    <w:name w:val="Body Text Indent 3 Char"/>
    <w:basedOn w:val="DefaultParagraphFont"/>
    <w:link w:val="BodyTextIndent3"/>
    <w:rsid w:val="00634A09"/>
    <w:rPr>
      <w:rFonts w:ascii="Arial" w:eastAsia="Times New Roman" w:hAnsi="Arial" w:cs="Times New Roman"/>
      <w:spacing w:val="-2"/>
      <w:szCs w:val="20"/>
    </w:rPr>
  </w:style>
  <w:style w:type="paragraph" w:styleId="ListParagraph">
    <w:name w:val="List Paragraph"/>
    <w:basedOn w:val="Normal"/>
    <w:uiPriority w:val="34"/>
    <w:qFormat/>
    <w:rsid w:val="00DB53F4"/>
    <w:pPr>
      <w:ind w:left="720"/>
      <w:contextualSpacing/>
    </w:pPr>
  </w:style>
  <w:style w:type="paragraph" w:customStyle="1" w:styleId="Default">
    <w:name w:val="Default"/>
    <w:rsid w:val="00DB53F4"/>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402E3"/>
    <w:rPr>
      <w:color w:val="0000FF" w:themeColor="hyperlink"/>
      <w:u w:val="single"/>
    </w:rPr>
  </w:style>
  <w:style w:type="character" w:styleId="FollowedHyperlink">
    <w:name w:val="FollowedHyperlink"/>
    <w:basedOn w:val="DefaultParagraphFont"/>
    <w:uiPriority w:val="99"/>
    <w:semiHidden/>
    <w:unhideWhenUsed/>
    <w:rsid w:val="003437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1055">
      <w:bodyDiv w:val="1"/>
      <w:marLeft w:val="0"/>
      <w:marRight w:val="0"/>
      <w:marTop w:val="0"/>
      <w:marBottom w:val="0"/>
      <w:divBdr>
        <w:top w:val="none" w:sz="0" w:space="0" w:color="auto"/>
        <w:left w:val="none" w:sz="0" w:space="0" w:color="auto"/>
        <w:bottom w:val="none" w:sz="0" w:space="0" w:color="auto"/>
        <w:right w:val="none" w:sz="0" w:space="0" w:color="auto"/>
      </w:divBdr>
    </w:div>
    <w:div w:id="329648047">
      <w:bodyDiv w:val="1"/>
      <w:marLeft w:val="0"/>
      <w:marRight w:val="0"/>
      <w:marTop w:val="0"/>
      <w:marBottom w:val="0"/>
      <w:divBdr>
        <w:top w:val="none" w:sz="0" w:space="0" w:color="auto"/>
        <w:left w:val="none" w:sz="0" w:space="0" w:color="auto"/>
        <w:bottom w:val="none" w:sz="0" w:space="0" w:color="auto"/>
        <w:right w:val="none" w:sz="0" w:space="0" w:color="auto"/>
      </w:divBdr>
    </w:div>
    <w:div w:id="1424372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ckburn.wa.gov.au/Building-Planning-and-Roads/Applications-and-Permits/Planning-Onlin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717</Words>
  <Characters>3791</Characters>
  <Application>Microsoft Office Word</Application>
  <DocSecurity>0</DocSecurity>
  <Lines>118</Lines>
  <Paragraphs>37</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McGrath</dc:creator>
  <cp:lastModifiedBy>Riley Brown</cp:lastModifiedBy>
  <cp:revision>25</cp:revision>
  <dcterms:created xsi:type="dcterms:W3CDTF">2016-10-13T01:28:00Z</dcterms:created>
  <dcterms:modified xsi:type="dcterms:W3CDTF">2026-06-29T08:18:00Z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