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77C60" w14:textId="77777777" w:rsidR="002C4BAD" w:rsidRDefault="00DD2318" w:rsidP="00DD2318">
      <w:pPr>
        <w:pStyle w:val="Title"/>
        <w:rPr>
          <w:b/>
        </w:rPr>
      </w:pPr>
      <w:r>
        <w:rPr>
          <w:b/>
        </w:rPr>
        <w:t xml:space="preserve">Policy </w:t>
      </w:r>
    </w:p>
    <w:p w14:paraId="54AB6230" w14:textId="77777777" w:rsidR="00DD2318" w:rsidRDefault="002C4BAD" w:rsidP="00DD2318">
      <w:pPr>
        <w:pStyle w:val="Title"/>
      </w:pPr>
      <w:r>
        <w:t>Temporary Events</w:t>
      </w:r>
    </w:p>
    <w:p w14:paraId="4DE2BA42" w14:textId="77777777" w:rsidR="002C4BAD" w:rsidRDefault="002C4BAD" w:rsidP="002C4BAD">
      <w:pPr>
        <w:rPr>
          <w:lang w:eastAsia="en-US"/>
        </w:rPr>
      </w:pPr>
    </w:p>
    <w:p w14:paraId="0E104242" w14:textId="77777777" w:rsidR="002C4BAD" w:rsidRPr="002C4BAD" w:rsidRDefault="002C4BAD" w:rsidP="002C4BAD">
      <w:pPr>
        <w:pStyle w:val="Title"/>
        <w:rPr>
          <w:b/>
        </w:rPr>
      </w:pPr>
      <w:r w:rsidRPr="002C4BAD">
        <w:rPr>
          <w:b/>
        </w:rPr>
        <w:t>Policy Number</w:t>
      </w:r>
    </w:p>
    <w:p w14:paraId="20CA8E02" w14:textId="77777777" w:rsidR="002C4BAD" w:rsidRPr="002C4BAD" w:rsidRDefault="002C4BAD" w:rsidP="002C4BAD">
      <w:pPr>
        <w:pStyle w:val="Title"/>
      </w:pPr>
      <w:r>
        <w:t>LPP 5.21</w:t>
      </w:r>
    </w:p>
    <w:p w14:paraId="15B6A6C4" w14:textId="77777777" w:rsidR="001F7EFD" w:rsidRPr="002C4BAD" w:rsidRDefault="001F7EFD" w:rsidP="002C4BAD">
      <w:pPr>
        <w:rPr>
          <w:lang w:eastAsia="en-US"/>
        </w:rPr>
      </w:pPr>
    </w:p>
    <w:p w14:paraId="1B285DFC" w14:textId="77777777" w:rsidR="002638F1" w:rsidRPr="001846A8" w:rsidRDefault="001846A8" w:rsidP="001846A8">
      <w:pPr>
        <w:pStyle w:val="Heading1"/>
      </w:pPr>
      <w:r w:rsidRPr="001846A8">
        <w:t>Policy Type</w:t>
      </w:r>
    </w:p>
    <w:p w14:paraId="76AA4989" w14:textId="77777777" w:rsidR="001846A8" w:rsidRDefault="002C4BAD" w:rsidP="001846A8">
      <w:pPr>
        <w:pStyle w:val="Subtitle"/>
      </w:pPr>
      <w:r>
        <w:t xml:space="preserve">Local Planning </w:t>
      </w:r>
      <w:r w:rsidR="007D500E">
        <w:t>Policy</w:t>
      </w:r>
    </w:p>
    <w:p w14:paraId="7DD4076C" w14:textId="77777777" w:rsidR="001846A8" w:rsidRDefault="001846A8" w:rsidP="001846A8"/>
    <w:p w14:paraId="4A2DC7C6" w14:textId="77777777" w:rsidR="001846A8" w:rsidRDefault="001846A8" w:rsidP="001846A8">
      <w:pPr>
        <w:pStyle w:val="Heading1"/>
      </w:pPr>
      <w:r w:rsidRPr="001846A8">
        <w:t>Policy Purpose</w:t>
      </w:r>
    </w:p>
    <w:p w14:paraId="5955D56A" w14:textId="77777777" w:rsidR="001846A8" w:rsidRDefault="001846A8" w:rsidP="001846A8">
      <w:r>
        <w:t xml:space="preserve">This </w:t>
      </w:r>
      <w:r w:rsidR="002C4BAD">
        <w:t>purpose of this p</w:t>
      </w:r>
      <w:r>
        <w:t>olicy</w:t>
      </w:r>
      <w:r w:rsidR="002C4BAD">
        <w:t xml:space="preserve"> is to:</w:t>
      </w:r>
    </w:p>
    <w:p w14:paraId="4CE91F38" w14:textId="77777777" w:rsidR="002C4BAD" w:rsidRDefault="002C4BAD" w:rsidP="001846A8"/>
    <w:p w14:paraId="265F8DC6" w14:textId="77777777" w:rsidR="002C4BAD" w:rsidRDefault="002C4BAD" w:rsidP="002C4BAD">
      <w:pPr>
        <w:ind w:left="720" w:hanging="720"/>
      </w:pPr>
      <w:r>
        <w:t>(1)</w:t>
      </w:r>
      <w:r>
        <w:tab/>
        <w:t>Provide development standards for proponents seeking to establish temporary events on both public and private land.</w:t>
      </w:r>
    </w:p>
    <w:p w14:paraId="3ACEA405" w14:textId="77777777" w:rsidR="002C4BAD" w:rsidRDefault="002C4BAD" w:rsidP="002C4BAD">
      <w:pPr>
        <w:ind w:left="720" w:hanging="720"/>
      </w:pPr>
      <w:r>
        <w:t>(2)</w:t>
      </w:r>
      <w:r>
        <w:tab/>
        <w:t>Provide guidance to event operators and not for profit entities on the requirements of the City in issuing approvals for events.</w:t>
      </w:r>
    </w:p>
    <w:p w14:paraId="24772B69" w14:textId="77777777" w:rsidR="002C4BAD" w:rsidRDefault="002C4BAD" w:rsidP="002C4BAD">
      <w:pPr>
        <w:ind w:left="720" w:hanging="720"/>
      </w:pPr>
      <w:r>
        <w:t>(3)</w:t>
      </w:r>
      <w:r>
        <w:tab/>
        <w:t>Ensure that events held within the City do not adversely impact on local businesses, are successful, sustainable and appropriately accessible to the public.</w:t>
      </w:r>
    </w:p>
    <w:p w14:paraId="0AC91B96" w14:textId="77777777" w:rsidR="001846A8" w:rsidRDefault="001846A8" w:rsidP="001846A8"/>
    <w:p w14:paraId="6034050F" w14:textId="77777777" w:rsidR="001846A8" w:rsidRDefault="001846A8" w:rsidP="001846A8">
      <w:pPr>
        <w:pStyle w:val="Heading1"/>
      </w:pPr>
      <w:r w:rsidRPr="001846A8">
        <w:t>Policy Statement</w:t>
      </w:r>
    </w:p>
    <w:p w14:paraId="46B2F9CC" w14:textId="77777777" w:rsidR="001846A8" w:rsidRDefault="002C4BAD" w:rsidP="00EA34E3">
      <w:r>
        <w:t>This policy applies to all temporary events as defined in Section (5) below but does not apply to events that involve no physical works (such as run clubs, play groups or social gatherings).</w:t>
      </w:r>
    </w:p>
    <w:p w14:paraId="5B25EFC8" w14:textId="77777777" w:rsidR="002C4BAD" w:rsidRDefault="002C4BAD" w:rsidP="00EA34E3"/>
    <w:p w14:paraId="596CC257" w14:textId="77777777" w:rsidR="002C4BAD" w:rsidRDefault="002C4BAD" w:rsidP="00EA34E3">
      <w:r>
        <w:t>(1)</w:t>
      </w:r>
      <w:r>
        <w:tab/>
      </w:r>
      <w:r w:rsidR="00097410">
        <w:t>Low frequency events</w:t>
      </w:r>
    </w:p>
    <w:p w14:paraId="3C687905" w14:textId="77777777" w:rsidR="00097410" w:rsidRDefault="00097410" w:rsidP="00EA34E3"/>
    <w:p w14:paraId="0EF7807F" w14:textId="77777777" w:rsidR="00097410" w:rsidRDefault="00097410" w:rsidP="00097410">
      <w:pPr>
        <w:ind w:left="720"/>
      </w:pPr>
      <w:r>
        <w:t xml:space="preserve">Events of between one(1) and (5) occasions per calendar year are classed as </w:t>
      </w:r>
      <w:r>
        <w:rPr>
          <w:b/>
          <w:bCs/>
        </w:rPr>
        <w:t>low frequency events</w:t>
      </w:r>
      <w:r>
        <w:t xml:space="preserve"> and are subject to the following provisions:</w:t>
      </w:r>
    </w:p>
    <w:p w14:paraId="48094D25" w14:textId="77777777" w:rsidR="00097410" w:rsidRDefault="00097410" w:rsidP="00097410">
      <w:pPr>
        <w:ind w:left="720"/>
      </w:pPr>
    </w:p>
    <w:p w14:paraId="27E16972" w14:textId="33F36BFF" w:rsidR="00097410" w:rsidRDefault="00097410" w:rsidP="00097410">
      <w:pPr>
        <w:ind w:left="1440" w:hanging="720"/>
      </w:pPr>
      <w:r>
        <w:t>1.</w:t>
      </w:r>
      <w:r w:rsidR="00811E1E">
        <w:t>1</w:t>
      </w:r>
      <w:r>
        <w:tab/>
        <w:t>Low Frequency Events are exempt from requiring Development Approval under the Town Planning Scheme No.3.</w:t>
      </w:r>
    </w:p>
    <w:p w14:paraId="0D970E90" w14:textId="5BB00D36" w:rsidR="00C8322E" w:rsidRDefault="00811E1E" w:rsidP="00097410">
      <w:pPr>
        <w:ind w:left="1440" w:hanging="720"/>
      </w:pPr>
      <w:r>
        <w:t>1.</w:t>
      </w:r>
      <w:r w:rsidR="00C8322E">
        <w:t>2</w:t>
      </w:r>
      <w:r w:rsidR="00C8322E">
        <w:tab/>
        <w:t xml:space="preserve">Low Frequency Events will require a </w:t>
      </w:r>
      <w:r w:rsidR="00C8322E">
        <w:rPr>
          <w:i/>
          <w:iCs/>
        </w:rPr>
        <w:t>public building approval</w:t>
      </w:r>
      <w:r w:rsidR="00C8322E">
        <w:t xml:space="preserve"> in accordance with the </w:t>
      </w:r>
      <w:r w:rsidR="00C8322E">
        <w:rPr>
          <w:i/>
          <w:iCs/>
        </w:rPr>
        <w:t>Health Act 1911</w:t>
      </w:r>
      <w:r w:rsidR="00C8322E">
        <w:t xml:space="preserve"> from the City’s Public Health Services.</w:t>
      </w:r>
    </w:p>
    <w:p w14:paraId="77165D1C" w14:textId="2C3152E1" w:rsidR="00C8322E" w:rsidRDefault="00811E1E" w:rsidP="00097410">
      <w:pPr>
        <w:ind w:left="1440" w:hanging="720"/>
      </w:pPr>
      <w:r>
        <w:t>1.</w:t>
      </w:r>
      <w:r w:rsidR="00C8322E">
        <w:t>3</w:t>
      </w:r>
      <w:r w:rsidR="00C8322E">
        <w:tab/>
        <w:t>Low Frequency Events held on City-owned reserves will require a booking to be made with the City’s Recreation Services, to ensure the event is available.</w:t>
      </w:r>
    </w:p>
    <w:p w14:paraId="4BAEABCB" w14:textId="77777777" w:rsidR="00446CC1" w:rsidRDefault="00446CC1">
      <w:pPr>
        <w:spacing w:line="240" w:lineRule="auto"/>
      </w:pPr>
    </w:p>
    <w:p w14:paraId="64DE9988" w14:textId="77777777" w:rsidR="00C8322E" w:rsidRDefault="00C8322E" w:rsidP="00C8322E">
      <w:pPr>
        <w:ind w:left="720" w:hanging="720"/>
      </w:pPr>
      <w:r>
        <w:t>(2)</w:t>
      </w:r>
      <w:r>
        <w:tab/>
        <w:t>High Frequency Events</w:t>
      </w:r>
    </w:p>
    <w:p w14:paraId="4AB4EE97" w14:textId="77777777" w:rsidR="00C8322E" w:rsidRDefault="00C8322E" w:rsidP="00C8322E">
      <w:pPr>
        <w:ind w:left="720" w:hanging="720"/>
      </w:pPr>
    </w:p>
    <w:p w14:paraId="1A31FE2F" w14:textId="46EDD550" w:rsidR="00C8322E" w:rsidRDefault="00811E1E" w:rsidP="00C8322E">
      <w:pPr>
        <w:ind w:left="1440" w:hanging="720"/>
      </w:pPr>
      <w:r>
        <w:lastRenderedPageBreak/>
        <w:t>2.</w:t>
      </w:r>
      <w:r w:rsidR="00C8322E">
        <w:t>1</w:t>
      </w:r>
      <w:r w:rsidR="00C8322E">
        <w:tab/>
        <w:t xml:space="preserve">Events of six(6) or more occasions per calendar year are classed as </w:t>
      </w:r>
      <w:r w:rsidR="00C8322E">
        <w:rPr>
          <w:b/>
          <w:bCs/>
        </w:rPr>
        <w:t>High Frequency Events</w:t>
      </w:r>
      <w:r w:rsidR="00C8322E">
        <w:t xml:space="preserve"> and are subject to the following provisions:</w:t>
      </w:r>
    </w:p>
    <w:p w14:paraId="0AF11710" w14:textId="77777777" w:rsidR="00C8322E" w:rsidRDefault="00C8322E" w:rsidP="00C8322E">
      <w:pPr>
        <w:ind w:left="1440" w:hanging="720"/>
      </w:pPr>
    </w:p>
    <w:p w14:paraId="5E0E66F3" w14:textId="13D61C5F" w:rsidR="00C8322E" w:rsidRDefault="00811E1E" w:rsidP="00C8322E">
      <w:pPr>
        <w:ind w:left="2160" w:hanging="720"/>
      </w:pPr>
      <w:r>
        <w:t>2.1.</w:t>
      </w:r>
      <w:r w:rsidR="00C8322E">
        <w:t>1</w:t>
      </w:r>
      <w:r w:rsidR="00C8322E">
        <w:tab/>
        <w:t>High Frequency Events require Development Approval under the Town Planning Scheme No.3.</w:t>
      </w:r>
    </w:p>
    <w:p w14:paraId="69906393" w14:textId="62162596" w:rsidR="00C8322E" w:rsidRDefault="00C8322E" w:rsidP="00C8322E">
      <w:pPr>
        <w:ind w:left="2160" w:hanging="720"/>
      </w:pPr>
      <w:r>
        <w:t>2.</w:t>
      </w:r>
      <w:r w:rsidR="00811E1E">
        <w:t>1.2</w:t>
      </w:r>
      <w:r>
        <w:tab/>
        <w:t>High Frequency Events are solely permitted to operate for a maximum term of twelve(12) months. Following expiry, additional Development Approval will be required.</w:t>
      </w:r>
    </w:p>
    <w:p w14:paraId="6348DC6F" w14:textId="60A82AEA" w:rsidR="00C8322E" w:rsidRDefault="00811E1E" w:rsidP="00C8322E">
      <w:pPr>
        <w:ind w:left="2160" w:hanging="720"/>
      </w:pPr>
      <w:r>
        <w:t>2.1.</w:t>
      </w:r>
      <w:r w:rsidR="00C8322E">
        <w:t>3</w:t>
      </w:r>
      <w:r w:rsidR="00C8322E">
        <w:tab/>
        <w:t xml:space="preserve">A </w:t>
      </w:r>
      <w:r w:rsidR="00C8322E">
        <w:rPr>
          <w:i/>
          <w:iCs/>
        </w:rPr>
        <w:t>public building approval</w:t>
      </w:r>
      <w:r w:rsidR="00C8322E">
        <w:t xml:space="preserve"> from the City’s Public Health Services is also required and may be undertaken concurrently to the Development Approval process.</w:t>
      </w:r>
    </w:p>
    <w:p w14:paraId="7D3D8CF3" w14:textId="30D89A92" w:rsidR="00C8322E" w:rsidRDefault="00811E1E" w:rsidP="00C8322E">
      <w:pPr>
        <w:ind w:left="2160" w:hanging="720"/>
      </w:pPr>
      <w:r>
        <w:t>2.1.</w:t>
      </w:r>
      <w:r w:rsidR="00C8322E">
        <w:t>4</w:t>
      </w:r>
      <w:r w:rsidR="00C8322E">
        <w:tab/>
        <w:t xml:space="preserve">Notwithstanding Clause (1) </w:t>
      </w:r>
      <w:r w:rsidR="00886D5E">
        <w:t>(</w:t>
      </w:r>
      <w:r w:rsidR="00C8322E">
        <w:t>1.</w:t>
      </w:r>
      <w:r w:rsidR="00886D5E">
        <w:t>1)</w:t>
      </w:r>
      <w:r w:rsidR="00C8322E">
        <w:t xml:space="preserve"> above, a development approval will not be required if the proposed event is held on privately owned zoned land and that is otherwise exempt pursuant within the planning framework.</w:t>
      </w:r>
    </w:p>
    <w:p w14:paraId="3D55456E" w14:textId="5DFCA896" w:rsidR="00C8322E" w:rsidRDefault="00811E1E" w:rsidP="00C8322E">
      <w:pPr>
        <w:ind w:left="2160" w:hanging="720"/>
      </w:pPr>
      <w:r>
        <w:t>2.1.</w:t>
      </w:r>
      <w:r w:rsidR="00C8322E">
        <w:t>5</w:t>
      </w:r>
      <w:r w:rsidR="00C8322E">
        <w:tab/>
        <w:t>High Frequency Events will generally only be supported on passive reserves, with priority given to community groups and sporting clubs over private commercial ventures.</w:t>
      </w:r>
    </w:p>
    <w:p w14:paraId="0B55703F" w14:textId="1F3BC7AA" w:rsidR="00C8322E" w:rsidRDefault="00811E1E" w:rsidP="00C8322E">
      <w:pPr>
        <w:ind w:left="2160" w:hanging="720"/>
      </w:pPr>
      <w:r>
        <w:t>2.1.</w:t>
      </w:r>
      <w:r w:rsidR="00C8322E">
        <w:t>6</w:t>
      </w:r>
      <w:r w:rsidR="00C8322E">
        <w:tab/>
      </w:r>
      <w:r w:rsidR="007D500E">
        <w:t>High Frequency Events on City-owned reserves will require a booking to be made with the City’s Recreation Services, to ensure the event space is available.</w:t>
      </w:r>
    </w:p>
    <w:p w14:paraId="67BFC7D9" w14:textId="1C50C150" w:rsidR="007D500E" w:rsidRDefault="00811E1E" w:rsidP="00C8322E">
      <w:pPr>
        <w:ind w:left="2160" w:hanging="720"/>
      </w:pPr>
      <w:r>
        <w:t>2.1.</w:t>
      </w:r>
      <w:r w:rsidR="007D500E">
        <w:t>7</w:t>
      </w:r>
      <w:r w:rsidR="007D500E">
        <w:tab/>
        <w:t xml:space="preserve">High Frequency Events will be advertised in accordance with the </w:t>
      </w:r>
      <w:r w:rsidR="007D500E" w:rsidRPr="007D500E">
        <w:rPr>
          <w:i/>
          <w:iCs/>
        </w:rPr>
        <w:t>Planning and Development (Local Planning Schemes) Regulations 2015</w:t>
      </w:r>
      <w:r w:rsidR="007D500E">
        <w:t xml:space="preserve"> as part of the assessment of the development application.</w:t>
      </w:r>
    </w:p>
    <w:p w14:paraId="4362BB0E" w14:textId="5C731213" w:rsidR="007D500E" w:rsidRDefault="00811E1E" w:rsidP="00C8322E">
      <w:pPr>
        <w:ind w:left="2160" w:hanging="720"/>
      </w:pPr>
      <w:r>
        <w:t>2.1.</w:t>
      </w:r>
      <w:r w:rsidR="007D500E">
        <w:t>8</w:t>
      </w:r>
      <w:r w:rsidR="007D500E">
        <w:tab/>
        <w:t>The granting of a development approval does not exempt the proponent from any other planning, building or health requirement.</w:t>
      </w:r>
    </w:p>
    <w:p w14:paraId="3DAEDF27" w14:textId="77777777" w:rsidR="007D500E" w:rsidRDefault="007D500E" w:rsidP="007D500E">
      <w:pPr>
        <w:ind w:left="720" w:hanging="720"/>
      </w:pPr>
    </w:p>
    <w:p w14:paraId="78B3B78D" w14:textId="77777777" w:rsidR="007D500E" w:rsidRDefault="007D500E" w:rsidP="007D500E">
      <w:pPr>
        <w:ind w:left="720" w:hanging="720"/>
      </w:pPr>
      <w:r>
        <w:t>(3)</w:t>
      </w:r>
      <w:r>
        <w:tab/>
        <w:t>The following General Provisions apply to both High and Low Frequency Events:</w:t>
      </w:r>
    </w:p>
    <w:p w14:paraId="21959B01" w14:textId="77777777" w:rsidR="007D500E" w:rsidRDefault="007D500E" w:rsidP="007D500E">
      <w:pPr>
        <w:ind w:left="720" w:hanging="720"/>
      </w:pPr>
    </w:p>
    <w:p w14:paraId="036835BB" w14:textId="774A42DE" w:rsidR="007D500E" w:rsidRDefault="00811E1E" w:rsidP="007D500E">
      <w:pPr>
        <w:ind w:left="1440" w:hanging="720"/>
      </w:pPr>
      <w:r>
        <w:t>3.</w:t>
      </w:r>
      <w:r w:rsidR="007D500E">
        <w:t>1</w:t>
      </w:r>
      <w:r w:rsidR="007D500E">
        <w:tab/>
        <w:t>The City may require the proponent to submit additional information in support of the event. This may include the following:</w:t>
      </w:r>
    </w:p>
    <w:p w14:paraId="4FE1FB88" w14:textId="77777777" w:rsidR="007D500E" w:rsidRDefault="007D500E" w:rsidP="007D500E">
      <w:pPr>
        <w:ind w:left="1440" w:hanging="720"/>
      </w:pPr>
    </w:p>
    <w:p w14:paraId="2B7B7DE1" w14:textId="619BBCC0" w:rsidR="007D500E" w:rsidRDefault="00811E1E" w:rsidP="007D500E">
      <w:pPr>
        <w:ind w:left="2160" w:hanging="720"/>
      </w:pPr>
      <w:r>
        <w:t>3.1.1</w:t>
      </w:r>
      <w:r w:rsidR="007D500E">
        <w:tab/>
        <w:t>A traffic management plan/parking management plan that demonstrates access to the site and sufficient parking to meet anticipated demands.</w:t>
      </w:r>
    </w:p>
    <w:p w14:paraId="3B98E2AD" w14:textId="627BA91D" w:rsidR="007D500E" w:rsidRDefault="00811E1E" w:rsidP="007D500E">
      <w:pPr>
        <w:ind w:left="2160" w:hanging="720"/>
      </w:pPr>
      <w:r>
        <w:t>3.1.2</w:t>
      </w:r>
      <w:r w:rsidR="007D500E">
        <w:tab/>
        <w:t>A waste management plan to demonstrate that waste generated on site shall be disposed of appropriately.</w:t>
      </w:r>
    </w:p>
    <w:p w14:paraId="733CDAB1" w14:textId="1D903893" w:rsidR="007D500E" w:rsidRDefault="00811E1E" w:rsidP="007D500E">
      <w:pPr>
        <w:ind w:left="2160" w:hanging="720"/>
      </w:pPr>
      <w:r>
        <w:t>3.1.3</w:t>
      </w:r>
      <w:r w:rsidR="007D500E">
        <w:tab/>
        <w:t>Details of sufficient ablution, power and water facilities.</w:t>
      </w:r>
    </w:p>
    <w:p w14:paraId="009E9BF6" w14:textId="0BBE9F19" w:rsidR="007D500E" w:rsidRDefault="00811E1E" w:rsidP="007D500E">
      <w:pPr>
        <w:ind w:left="2160" w:hanging="720"/>
      </w:pPr>
      <w:r>
        <w:t>3.1.4</w:t>
      </w:r>
      <w:r w:rsidR="007D500E">
        <w:tab/>
        <w:t>A noise management plan demonstrating that the potential impacts on neighbouring sensitive land uses can be appropriately managed.</w:t>
      </w:r>
    </w:p>
    <w:p w14:paraId="5FD1CFF5" w14:textId="4A79ED1A" w:rsidR="007D500E" w:rsidRDefault="00811E1E" w:rsidP="007D500E">
      <w:pPr>
        <w:ind w:left="2160" w:hanging="720"/>
      </w:pPr>
      <w:r>
        <w:t>3.1.5</w:t>
      </w:r>
      <w:r w:rsidR="007D500E">
        <w:tab/>
        <w:t>An operation management plan that governs the operations, behaviours and actions of vendors and operators.</w:t>
      </w:r>
    </w:p>
    <w:p w14:paraId="0F23CE90" w14:textId="78C6888B" w:rsidR="007D500E" w:rsidRDefault="00811E1E" w:rsidP="007D500E">
      <w:pPr>
        <w:ind w:left="2160" w:hanging="720"/>
      </w:pPr>
      <w:r>
        <w:t>3.1.6</w:t>
      </w:r>
      <w:r w:rsidR="007D500E">
        <w:tab/>
        <w:t>Any other information as deemed necessary by the City.</w:t>
      </w:r>
    </w:p>
    <w:p w14:paraId="6BB8201C" w14:textId="77777777" w:rsidR="007D500E" w:rsidRDefault="007D500E" w:rsidP="007D500E">
      <w:pPr>
        <w:ind w:left="1440" w:hanging="720"/>
      </w:pPr>
    </w:p>
    <w:p w14:paraId="11B4BC0C" w14:textId="50376F8D" w:rsidR="007D500E" w:rsidRDefault="00811E1E" w:rsidP="007D500E">
      <w:pPr>
        <w:ind w:left="1440" w:hanging="720"/>
      </w:pPr>
      <w:r>
        <w:t>3.</w:t>
      </w:r>
      <w:r w:rsidR="007D500E">
        <w:t>2</w:t>
      </w:r>
      <w:r w:rsidR="007D500E">
        <w:tab/>
        <w:t>The city encourages event organisers to seek the use of the more ‘passive reserves’, wherever possible, to limit impacts to existing activities scheduled on highly active City managed reserves.</w:t>
      </w:r>
    </w:p>
    <w:p w14:paraId="5D9EE529" w14:textId="15EF4241" w:rsidR="007D500E" w:rsidRDefault="007D500E" w:rsidP="007D500E">
      <w:pPr>
        <w:ind w:left="1440" w:hanging="720"/>
      </w:pPr>
      <w:r>
        <w:t>3.</w:t>
      </w:r>
      <w:r w:rsidR="00811E1E">
        <w:t>3</w:t>
      </w:r>
      <w:r>
        <w:tab/>
      </w:r>
      <w:r w:rsidR="00B44F70">
        <w:t>In relation to Markets, the City will require the event operator to notify residents within 100m and compatible businesses within 1km of the event details as per the City’s notification template.</w:t>
      </w:r>
    </w:p>
    <w:p w14:paraId="33CA36B4" w14:textId="541C3562" w:rsidR="00B44F70" w:rsidRDefault="00811E1E" w:rsidP="007D500E">
      <w:pPr>
        <w:ind w:left="1440" w:hanging="720"/>
      </w:pPr>
      <w:r>
        <w:t>3.</w:t>
      </w:r>
      <w:r w:rsidR="00B44F70">
        <w:t>4</w:t>
      </w:r>
      <w:r w:rsidR="00B44F70">
        <w:tab/>
        <w:t>Events proposed on City managed reserves may attract a bond to cover the costs of land degradation as a result of privately operated events. The bond shall be charged at a rate determined by the City and shall be calculated on a case-by-case basis in consultation with the applicant.</w:t>
      </w:r>
    </w:p>
    <w:p w14:paraId="6FA164F0" w14:textId="453D91D1" w:rsidR="00B44F70" w:rsidRDefault="00811E1E" w:rsidP="007D500E">
      <w:pPr>
        <w:ind w:left="1440" w:hanging="720"/>
      </w:pPr>
      <w:r>
        <w:t>3.</w:t>
      </w:r>
      <w:r w:rsidR="00B44F70">
        <w:t>5</w:t>
      </w:r>
      <w:r w:rsidR="00B44F70">
        <w:tab/>
        <w:t>The City will require event organisers to hold and maintain for the duration of the event valid public liability insurance (including product) to the value of 20 million dollars, imposed as a condition of development approval or licence.</w:t>
      </w:r>
    </w:p>
    <w:p w14:paraId="1DAA4B51" w14:textId="6C72F9B5" w:rsidR="00B44F70" w:rsidRDefault="00811E1E" w:rsidP="007D500E">
      <w:pPr>
        <w:ind w:left="1440" w:hanging="720"/>
      </w:pPr>
      <w:r>
        <w:t>3.</w:t>
      </w:r>
      <w:r w:rsidR="008244E5">
        <w:t>6</w:t>
      </w:r>
      <w:r w:rsidR="008244E5">
        <w:tab/>
        <w:t>In making a determination on a low or high frequency event proposal, the City shall have regard to the following factors:</w:t>
      </w:r>
    </w:p>
    <w:p w14:paraId="29182D48" w14:textId="77777777" w:rsidR="008244E5" w:rsidRDefault="008244E5" w:rsidP="007D500E">
      <w:pPr>
        <w:ind w:left="1440" w:hanging="720"/>
      </w:pPr>
    </w:p>
    <w:p w14:paraId="1F8DE83E" w14:textId="70B76EA8" w:rsidR="008244E5" w:rsidRDefault="00931ADA" w:rsidP="008244E5">
      <w:pPr>
        <w:ind w:left="2160" w:hanging="720"/>
      </w:pPr>
      <w:r>
        <w:t>3.6.1</w:t>
      </w:r>
      <w:r w:rsidR="008244E5">
        <w:tab/>
        <w:t>Community expectations and amenity impacts.</w:t>
      </w:r>
    </w:p>
    <w:p w14:paraId="22135822" w14:textId="287F4858" w:rsidR="008244E5" w:rsidRDefault="00931ADA" w:rsidP="008244E5">
      <w:pPr>
        <w:ind w:left="2160" w:hanging="720"/>
      </w:pPr>
      <w:r>
        <w:t>3.6.2</w:t>
      </w:r>
      <w:r w:rsidR="008244E5">
        <w:tab/>
        <w:t>Economic completion with existing nearby ‘</w:t>
      </w:r>
      <w:r w:rsidR="008244E5">
        <w:rPr>
          <w:i/>
          <w:iCs/>
        </w:rPr>
        <w:t>brick and mortar’</w:t>
      </w:r>
      <w:r w:rsidR="008244E5">
        <w:t xml:space="preserve"> businesses and the viability of established commercial centres.</w:t>
      </w:r>
    </w:p>
    <w:p w14:paraId="5B28E060" w14:textId="13F6378E" w:rsidR="008244E5" w:rsidRDefault="00931ADA" w:rsidP="008244E5">
      <w:pPr>
        <w:ind w:left="2160" w:hanging="720"/>
      </w:pPr>
      <w:r>
        <w:t>3.6.3</w:t>
      </w:r>
      <w:r w:rsidR="008244E5">
        <w:tab/>
        <w:t>Environmental Impacts.</w:t>
      </w:r>
    </w:p>
    <w:p w14:paraId="4A349C6A" w14:textId="1F40472F" w:rsidR="008244E5" w:rsidRDefault="00931ADA" w:rsidP="008244E5">
      <w:pPr>
        <w:ind w:left="2160" w:hanging="720"/>
      </w:pPr>
      <w:r>
        <w:t>3.6.4</w:t>
      </w:r>
      <w:r w:rsidR="008244E5">
        <w:tab/>
        <w:t>Financial implications for the City.</w:t>
      </w:r>
    </w:p>
    <w:p w14:paraId="5F616AAB" w14:textId="51A43D1E" w:rsidR="008244E5" w:rsidRDefault="00931ADA" w:rsidP="008244E5">
      <w:pPr>
        <w:ind w:left="2160" w:hanging="720"/>
      </w:pPr>
      <w:r>
        <w:t>3.6.5</w:t>
      </w:r>
      <w:r w:rsidR="008244E5">
        <w:tab/>
        <w:t>Size and scale of the event and impacts to the broader locality.</w:t>
      </w:r>
    </w:p>
    <w:p w14:paraId="37460BFF" w14:textId="38BEE901" w:rsidR="008244E5" w:rsidRDefault="00931ADA" w:rsidP="008244E5">
      <w:pPr>
        <w:ind w:left="2160" w:hanging="720"/>
      </w:pPr>
      <w:r>
        <w:t>3.6.6</w:t>
      </w:r>
      <w:r w:rsidR="008244E5">
        <w:tab/>
        <w:t xml:space="preserve">Any other matter as outlined in Clause 67 of the </w:t>
      </w:r>
      <w:r w:rsidR="008244E5">
        <w:rPr>
          <w:i/>
          <w:iCs/>
        </w:rPr>
        <w:t>Planning and Development (Local Planning Scheme) Regulations 2015</w:t>
      </w:r>
      <w:r w:rsidR="008244E5">
        <w:t>.</w:t>
      </w:r>
    </w:p>
    <w:p w14:paraId="1547025E" w14:textId="77777777" w:rsidR="008244E5" w:rsidRDefault="008244E5" w:rsidP="008244E5">
      <w:pPr>
        <w:ind w:left="1440" w:hanging="720"/>
      </w:pPr>
    </w:p>
    <w:p w14:paraId="6032839F" w14:textId="77777777" w:rsidR="008244E5" w:rsidRDefault="008244E5" w:rsidP="008244E5">
      <w:pPr>
        <w:ind w:left="720" w:hanging="720"/>
      </w:pPr>
      <w:r>
        <w:t>(4)</w:t>
      </w:r>
      <w:r>
        <w:tab/>
        <w:t>Definitions</w:t>
      </w:r>
    </w:p>
    <w:p w14:paraId="0CF062CD" w14:textId="77777777" w:rsidR="008244E5" w:rsidRPr="008244E5" w:rsidRDefault="008244E5" w:rsidP="008244E5">
      <w:pPr>
        <w:ind w:left="720" w:hanging="720"/>
      </w:pPr>
    </w:p>
    <w:p w14:paraId="7D0B057F" w14:textId="77777777" w:rsidR="008244E5" w:rsidRDefault="008244E5" w:rsidP="008244E5">
      <w:pPr>
        <w:ind w:left="705" w:right="39"/>
      </w:pPr>
      <w:r>
        <w:rPr>
          <w:i/>
          <w:u w:val="single" w:color="000000"/>
        </w:rPr>
        <w:t>Active Reserve</w:t>
      </w:r>
      <w:r>
        <w:rPr>
          <w:b/>
          <w:i/>
        </w:rPr>
        <w:t>:</w:t>
      </w:r>
      <w:r>
        <w:rPr>
          <w:i/>
        </w:rPr>
        <w:t xml:space="preserve"> </w:t>
      </w:r>
      <w:r>
        <w:t xml:space="preserve">public open space that is used for organised sports, generally hired by sporting clubs.  </w:t>
      </w:r>
    </w:p>
    <w:p w14:paraId="2ADECDBA" w14:textId="77777777" w:rsidR="008244E5" w:rsidRDefault="008244E5" w:rsidP="008244E5">
      <w:pPr>
        <w:spacing w:after="44" w:line="259" w:lineRule="auto"/>
        <w:ind w:left="735"/>
      </w:pPr>
      <w:r>
        <w:t xml:space="preserve">  </w:t>
      </w:r>
    </w:p>
    <w:p w14:paraId="40872453" w14:textId="77777777" w:rsidR="008244E5" w:rsidRDefault="008244E5" w:rsidP="008244E5">
      <w:pPr>
        <w:ind w:left="705" w:right="39"/>
      </w:pPr>
      <w:r>
        <w:rPr>
          <w:i/>
          <w:u w:val="single" w:color="000000"/>
        </w:rPr>
        <w:t>Booking</w:t>
      </w:r>
      <w:r>
        <w:rPr>
          <w:b/>
        </w:rPr>
        <w:t>:</w:t>
      </w:r>
      <w:r>
        <w:t xml:space="preserve"> single date of an event or series of events.  </w:t>
      </w:r>
    </w:p>
    <w:p w14:paraId="1B895022" w14:textId="77777777" w:rsidR="008244E5" w:rsidRDefault="008244E5" w:rsidP="008244E5">
      <w:pPr>
        <w:spacing w:line="259" w:lineRule="auto"/>
        <w:ind w:left="735"/>
      </w:pPr>
      <w:r>
        <w:t xml:space="preserve">  </w:t>
      </w:r>
    </w:p>
    <w:p w14:paraId="7DD3E2DE" w14:textId="77777777" w:rsidR="008244E5" w:rsidRDefault="008244E5" w:rsidP="008244E5">
      <w:pPr>
        <w:ind w:left="705" w:right="39"/>
      </w:pPr>
      <w:r>
        <w:rPr>
          <w:i/>
          <w:u w:val="single" w:color="000000"/>
        </w:rPr>
        <w:t>Compatible Businesses</w:t>
      </w:r>
      <w:r>
        <w:rPr>
          <w:u w:val="single" w:color="000000"/>
        </w:rPr>
        <w:t>:</w:t>
      </w:r>
      <w:r>
        <w:t xml:space="preserve"> Businesses which are similar in function to a market or market stall holder (e.g. shop).   </w:t>
      </w:r>
    </w:p>
    <w:p w14:paraId="44B35988" w14:textId="77777777" w:rsidR="008244E5" w:rsidRDefault="008244E5" w:rsidP="008244E5">
      <w:pPr>
        <w:spacing w:line="259" w:lineRule="auto"/>
        <w:ind w:left="735"/>
      </w:pPr>
      <w:r>
        <w:t xml:space="preserve">  </w:t>
      </w:r>
    </w:p>
    <w:p w14:paraId="2F7E8C0D" w14:textId="77777777" w:rsidR="008244E5" w:rsidRDefault="008244E5" w:rsidP="008244E5">
      <w:pPr>
        <w:ind w:left="705" w:right="39"/>
      </w:pPr>
      <w:r>
        <w:rPr>
          <w:i/>
          <w:u w:val="single" w:color="000000"/>
        </w:rPr>
        <w:t>Event:</w:t>
      </w:r>
      <w:r>
        <w:rPr>
          <w:i/>
        </w:rPr>
        <w:t xml:space="preserve"> </w:t>
      </w:r>
      <w:r>
        <w:t xml:space="preserve">is a gathering of people brought together for a common purpose by a pre- arrangement and includes but is not limited to, sporting events, fairs, festivals, craft shows, open days, celebrations, cultural performances, concerts, exhibitions, street parties and car boot sales.  </w:t>
      </w:r>
    </w:p>
    <w:p w14:paraId="24CF99CE" w14:textId="77777777" w:rsidR="008244E5" w:rsidRDefault="008244E5" w:rsidP="008244E5">
      <w:pPr>
        <w:spacing w:line="259" w:lineRule="auto"/>
        <w:ind w:left="735"/>
      </w:pPr>
      <w:r>
        <w:rPr>
          <w:i/>
        </w:rPr>
        <w:t xml:space="preserve"> </w:t>
      </w:r>
      <w:r>
        <w:t xml:space="preserve"> </w:t>
      </w:r>
    </w:p>
    <w:p w14:paraId="4B4C2776" w14:textId="77777777" w:rsidR="008244E5" w:rsidRDefault="008244E5" w:rsidP="008244E5">
      <w:pPr>
        <w:ind w:left="705" w:right="39"/>
      </w:pPr>
      <w:r>
        <w:rPr>
          <w:i/>
          <w:u w:val="single" w:color="000000"/>
        </w:rPr>
        <w:t>Event Space</w:t>
      </w:r>
      <w:r>
        <w:rPr>
          <w:i/>
        </w:rPr>
        <w:t xml:space="preserve">: </w:t>
      </w:r>
      <w:r>
        <w:t xml:space="preserve">a local or regional reserve managed by the City or public authority, or zoned land privately owned by the City or a private entity. Does not include events </w:t>
      </w:r>
      <w:r>
        <w:lastRenderedPageBreak/>
        <w:t xml:space="preserve">held within Community Halls, City Facilities or Recreation Centres where the building is already approved for event hire.  </w:t>
      </w:r>
    </w:p>
    <w:p w14:paraId="4392B97A" w14:textId="77777777" w:rsidR="008244E5" w:rsidRDefault="008244E5" w:rsidP="008244E5">
      <w:pPr>
        <w:spacing w:after="42" w:line="259" w:lineRule="auto"/>
        <w:ind w:left="735"/>
      </w:pPr>
      <w:r>
        <w:t xml:space="preserve">  </w:t>
      </w:r>
    </w:p>
    <w:p w14:paraId="6EE24E77" w14:textId="77777777" w:rsidR="008244E5" w:rsidRDefault="008244E5" w:rsidP="008244E5">
      <w:pPr>
        <w:ind w:left="705" w:right="39"/>
      </w:pPr>
      <w:r>
        <w:rPr>
          <w:i/>
          <w:u w:val="single" w:color="000000"/>
        </w:rPr>
        <w:t>High Frequency Event:</w:t>
      </w:r>
      <w:r>
        <w:t xml:space="preserve"> Events of six (6) or more occasions per calendar year.  </w:t>
      </w:r>
    </w:p>
    <w:p w14:paraId="7AE92091" w14:textId="77777777" w:rsidR="008244E5" w:rsidRDefault="008244E5" w:rsidP="008244E5">
      <w:pPr>
        <w:spacing w:after="2" w:line="259" w:lineRule="auto"/>
        <w:ind w:left="735"/>
      </w:pPr>
      <w:r>
        <w:t xml:space="preserve">  </w:t>
      </w:r>
    </w:p>
    <w:p w14:paraId="5C9345E6" w14:textId="77777777" w:rsidR="008244E5" w:rsidRDefault="008244E5" w:rsidP="008244E5">
      <w:pPr>
        <w:ind w:left="705" w:right="39"/>
      </w:pPr>
      <w:r>
        <w:rPr>
          <w:i/>
          <w:u w:val="single" w:color="000000"/>
        </w:rPr>
        <w:t>Low Frequency Event:</w:t>
      </w:r>
      <w:r>
        <w:t xml:space="preserve"> Events of between one (1) and five (5) occasions per calendar year.  </w:t>
      </w:r>
    </w:p>
    <w:p w14:paraId="18ED5FB3" w14:textId="77777777" w:rsidR="008244E5" w:rsidRDefault="008244E5" w:rsidP="008244E5">
      <w:pPr>
        <w:spacing w:line="259" w:lineRule="auto"/>
        <w:ind w:left="735"/>
      </w:pPr>
      <w:r>
        <w:rPr>
          <w:rFonts w:ascii="Times New Roman" w:hAnsi="Times New Roman"/>
        </w:rPr>
        <w:t xml:space="preserve"> </w:t>
      </w:r>
      <w:r>
        <w:t xml:space="preserve"> </w:t>
      </w:r>
    </w:p>
    <w:p w14:paraId="657D1304" w14:textId="77777777" w:rsidR="008244E5" w:rsidRDefault="008244E5" w:rsidP="008244E5">
      <w:pPr>
        <w:ind w:left="705" w:right="39"/>
      </w:pPr>
      <w:r>
        <w:rPr>
          <w:i/>
          <w:u w:val="single" w:color="000000"/>
        </w:rPr>
        <w:t>Market</w:t>
      </w:r>
      <w:r>
        <w:rPr>
          <w:b/>
        </w:rPr>
        <w:t>:</w:t>
      </w:r>
      <w:r>
        <w:t xml:space="preserve">  premises used for the display and sale of goods or provisions of services from stalls by independent vendors.  </w:t>
      </w:r>
    </w:p>
    <w:p w14:paraId="0A4F7B1D" w14:textId="77777777" w:rsidR="008244E5" w:rsidRDefault="008244E5" w:rsidP="008244E5">
      <w:pPr>
        <w:spacing w:after="37" w:line="259" w:lineRule="auto"/>
        <w:ind w:left="720"/>
      </w:pPr>
      <w:r>
        <w:rPr>
          <w:i/>
        </w:rPr>
        <w:t xml:space="preserve"> </w:t>
      </w:r>
    </w:p>
    <w:p w14:paraId="2632C846" w14:textId="5D59CAB2" w:rsidR="008244E5" w:rsidRDefault="008244E5" w:rsidP="008244E5">
      <w:pPr>
        <w:ind w:left="1440" w:hanging="720"/>
      </w:pPr>
      <w:r>
        <w:rPr>
          <w:i/>
          <w:u w:val="single" w:color="000000"/>
        </w:rPr>
        <w:t>Passive Reserve</w:t>
      </w:r>
      <w:r>
        <w:rPr>
          <w:b/>
        </w:rPr>
        <w:t>:</w:t>
      </w:r>
      <w:r>
        <w:t xml:space="preserve"> public open space not used for organised sports</w:t>
      </w:r>
      <w:r w:rsidR="00446CC1">
        <w:t>.</w:t>
      </w:r>
    </w:p>
    <w:p w14:paraId="0539FCE0" w14:textId="77777777" w:rsidR="008244E5" w:rsidRDefault="008244E5" w:rsidP="008244E5">
      <w:pPr>
        <w:rPr>
          <w:iCs/>
        </w:rPr>
      </w:pPr>
    </w:p>
    <w:p w14:paraId="1CA6CFE1" w14:textId="77777777" w:rsidR="00F722FD" w:rsidRPr="008244E5" w:rsidRDefault="00F722FD" w:rsidP="008244E5">
      <w:pPr>
        <w:rPr>
          <w:iCs/>
        </w:rPr>
      </w:pPr>
    </w:p>
    <w:tbl>
      <w:tblPr>
        <w:tblStyle w:val="TableGrid"/>
        <w:tblW w:w="0" w:type="auto"/>
        <w:tblLook w:val="04A0" w:firstRow="1" w:lastRow="0" w:firstColumn="1" w:lastColumn="0" w:noHBand="0" w:noVBand="1"/>
        <w:tblCaption w:val="Policy Information"/>
        <w:tblDescription w:val="Strategic Link: Strategic Community Plan – Town Planning Scheme No.3&#10;Category: Planning - Town Planning and Development&#10;Business Unit: Development Services&#10;Public Consultation: (Yes or No): Yes&#10;Adoption Date: 10 September 2024"/>
      </w:tblPr>
      <w:tblGrid>
        <w:gridCol w:w="3397"/>
        <w:gridCol w:w="6231"/>
      </w:tblGrid>
      <w:tr w:rsidR="00B6629B" w14:paraId="69678D38" w14:textId="77777777" w:rsidTr="00B6629B">
        <w:trPr>
          <w:trHeight w:val="284"/>
        </w:trPr>
        <w:tc>
          <w:tcPr>
            <w:tcW w:w="3397" w:type="dxa"/>
            <w:vAlign w:val="center"/>
          </w:tcPr>
          <w:p w14:paraId="4681AE8C" w14:textId="77777777" w:rsidR="00B6629B" w:rsidRDefault="00F87DC9" w:rsidP="00B6629B">
            <w:hyperlink w:anchor="Bookmark3" w:tooltip="Strategic Link – outline the Informing Strategy, Framework or Plan to provide a link to the Community Strategic Plan. Refer to the Category Index for guidance" w:history="1">
              <w:r w:rsidR="00B6629B" w:rsidRPr="00F94F2C">
                <w:rPr>
                  <w:rStyle w:val="Hyperlink"/>
                  <w:rFonts w:eastAsiaTheme="majorEastAsia" w:cs="Arial"/>
                </w:rPr>
                <w:t>Strategic Link</w:t>
              </w:r>
            </w:hyperlink>
            <w:r w:rsidR="00B6629B">
              <w:rPr>
                <w:rFonts w:cs="Arial"/>
              </w:rPr>
              <w:t>:</w:t>
            </w:r>
          </w:p>
        </w:tc>
        <w:tc>
          <w:tcPr>
            <w:tcW w:w="6231" w:type="dxa"/>
            <w:vAlign w:val="center"/>
          </w:tcPr>
          <w:p w14:paraId="78121975" w14:textId="77777777" w:rsidR="00B6629B" w:rsidRDefault="00F722FD" w:rsidP="00B6629B">
            <w:r>
              <w:rPr>
                <w:rFonts w:cs="Arial"/>
              </w:rPr>
              <w:t>Town Planning Scheme No.3</w:t>
            </w:r>
          </w:p>
        </w:tc>
      </w:tr>
      <w:tr w:rsidR="00B6629B" w14:paraId="6949356A" w14:textId="77777777" w:rsidTr="00B6629B">
        <w:trPr>
          <w:trHeight w:val="284"/>
        </w:trPr>
        <w:tc>
          <w:tcPr>
            <w:tcW w:w="3397" w:type="dxa"/>
            <w:vAlign w:val="center"/>
          </w:tcPr>
          <w:p w14:paraId="44A196F4" w14:textId="77777777" w:rsidR="00B6629B" w:rsidRDefault="00F87DC9" w:rsidP="00B6629B">
            <w:hyperlink w:anchor="Bookmark3" w:tooltip="Category – outline the relevant service or function that the content of the policies addresses. Refer to the Category Index for guidance" w:history="1">
              <w:r w:rsidR="00B6629B" w:rsidRPr="00F94F2C">
                <w:rPr>
                  <w:rStyle w:val="Hyperlink"/>
                  <w:rFonts w:eastAsiaTheme="majorEastAsia" w:cs="Arial"/>
                </w:rPr>
                <w:t>Category</w:t>
              </w:r>
            </w:hyperlink>
            <w:r w:rsidR="00B6629B">
              <w:rPr>
                <w:rStyle w:val="Hyperlink"/>
                <w:rFonts w:eastAsiaTheme="majorEastAsia" w:cs="Arial"/>
              </w:rPr>
              <w:t>:</w:t>
            </w:r>
          </w:p>
        </w:tc>
        <w:tc>
          <w:tcPr>
            <w:tcW w:w="6231" w:type="dxa"/>
            <w:vAlign w:val="center"/>
          </w:tcPr>
          <w:p w14:paraId="0628E0EA" w14:textId="77777777" w:rsidR="00B6629B" w:rsidRDefault="00F722FD" w:rsidP="00B6629B">
            <w:r>
              <w:rPr>
                <w:rFonts w:eastAsia="Arial" w:cs="Arial"/>
              </w:rPr>
              <w:t>Planning – Town Planning &amp; Development</w:t>
            </w:r>
          </w:p>
        </w:tc>
      </w:tr>
      <w:tr w:rsidR="00B6629B" w14:paraId="54AE9FD9" w14:textId="77777777" w:rsidTr="00B6629B">
        <w:trPr>
          <w:trHeight w:val="284"/>
        </w:trPr>
        <w:tc>
          <w:tcPr>
            <w:tcW w:w="3397" w:type="dxa"/>
            <w:vAlign w:val="center"/>
          </w:tcPr>
          <w:p w14:paraId="38931D7E" w14:textId="77777777" w:rsidR="00B6629B" w:rsidRDefault="00F87DC9" w:rsidP="00B6629B">
            <w:hyperlink w:anchor="Bookmark3" w:tooltip="Lead Business Unit – outline the business Unit responsible for reviewing the Policy, and conducting stakeholder consultation where necessary." w:history="1">
              <w:r w:rsidR="00B6629B" w:rsidRPr="00F94F2C">
                <w:rPr>
                  <w:rStyle w:val="Hyperlink"/>
                  <w:rFonts w:eastAsiaTheme="majorEastAsia" w:cs="Arial"/>
                </w:rPr>
                <w:t>Lead Business Unit</w:t>
              </w:r>
            </w:hyperlink>
            <w:r w:rsidR="00B6629B">
              <w:rPr>
                <w:rStyle w:val="Hyperlink"/>
                <w:rFonts w:eastAsiaTheme="majorEastAsia" w:cs="Arial"/>
              </w:rPr>
              <w:t>:</w:t>
            </w:r>
          </w:p>
        </w:tc>
        <w:tc>
          <w:tcPr>
            <w:tcW w:w="6231" w:type="dxa"/>
            <w:vAlign w:val="center"/>
          </w:tcPr>
          <w:p w14:paraId="7EDF3985" w14:textId="77777777" w:rsidR="00B6629B" w:rsidRDefault="00F722FD" w:rsidP="00B6629B">
            <w:r>
              <w:rPr>
                <w:rFonts w:cs="Arial"/>
                <w:noProof/>
              </w:rPr>
              <w:t>Development Services</w:t>
            </w:r>
          </w:p>
        </w:tc>
      </w:tr>
      <w:tr w:rsidR="00B6629B" w14:paraId="2AE6CF0C" w14:textId="77777777" w:rsidTr="00B6629B">
        <w:trPr>
          <w:trHeight w:val="284"/>
        </w:trPr>
        <w:tc>
          <w:tcPr>
            <w:tcW w:w="3397" w:type="dxa"/>
            <w:vAlign w:val="center"/>
          </w:tcPr>
          <w:p w14:paraId="4A371D7A" w14:textId="77777777" w:rsidR="00B6629B" w:rsidRDefault="00B6629B" w:rsidP="00B6629B">
            <w:r w:rsidRPr="00B6629B">
              <w:t xml:space="preserve">Public Consultation: </w:t>
            </w:r>
            <w:r>
              <w:br/>
            </w:r>
            <w:r w:rsidRPr="00B6629B">
              <w:t>(Yes or No)</w:t>
            </w:r>
          </w:p>
        </w:tc>
        <w:tc>
          <w:tcPr>
            <w:tcW w:w="6231" w:type="dxa"/>
            <w:vAlign w:val="center"/>
          </w:tcPr>
          <w:p w14:paraId="3F729C66" w14:textId="77777777" w:rsidR="00B6629B" w:rsidRDefault="00F722FD" w:rsidP="00B6629B">
            <w:r>
              <w:t>Yes</w:t>
            </w:r>
          </w:p>
        </w:tc>
      </w:tr>
      <w:tr w:rsidR="00B6629B" w14:paraId="47A9CE8E" w14:textId="77777777" w:rsidTr="00B6629B">
        <w:trPr>
          <w:trHeight w:val="284"/>
        </w:trPr>
        <w:tc>
          <w:tcPr>
            <w:tcW w:w="3397" w:type="dxa"/>
            <w:vAlign w:val="center"/>
          </w:tcPr>
          <w:p w14:paraId="73A1B89A" w14:textId="77777777" w:rsidR="00B6629B" w:rsidRDefault="00B6629B" w:rsidP="00B6629B">
            <w:r w:rsidRPr="00B6629B">
              <w:t xml:space="preserve">Adoption Date: </w:t>
            </w:r>
            <w:r>
              <w:br/>
            </w:r>
            <w:r w:rsidRPr="00B6629B">
              <w:t>(Governance Purpose Only)</w:t>
            </w:r>
          </w:p>
        </w:tc>
        <w:tc>
          <w:tcPr>
            <w:tcW w:w="6231" w:type="dxa"/>
            <w:vAlign w:val="center"/>
          </w:tcPr>
          <w:p w14:paraId="1E33E375" w14:textId="0885D396" w:rsidR="00B6629B" w:rsidRDefault="00F722FD" w:rsidP="00B6629B">
            <w:r>
              <w:rPr>
                <w:rFonts w:cs="Arial"/>
              </w:rPr>
              <w:t>1</w:t>
            </w:r>
            <w:r w:rsidR="00F87DC9">
              <w:rPr>
                <w:rFonts w:cs="Arial"/>
              </w:rPr>
              <w:t>0</w:t>
            </w:r>
            <w:r>
              <w:rPr>
                <w:rFonts w:cs="Arial"/>
              </w:rPr>
              <w:t xml:space="preserve"> </w:t>
            </w:r>
            <w:r w:rsidR="00F87DC9">
              <w:rPr>
                <w:rFonts w:cs="Arial"/>
              </w:rPr>
              <w:t>Septe</w:t>
            </w:r>
            <w:r>
              <w:rPr>
                <w:rFonts w:cs="Arial"/>
              </w:rPr>
              <w:t>mber 2024</w:t>
            </w:r>
          </w:p>
        </w:tc>
      </w:tr>
      <w:tr w:rsidR="00B6629B" w14:paraId="56E61D1F" w14:textId="77777777" w:rsidTr="00B6629B">
        <w:trPr>
          <w:trHeight w:val="284"/>
        </w:trPr>
        <w:tc>
          <w:tcPr>
            <w:tcW w:w="3397" w:type="dxa"/>
            <w:vAlign w:val="center"/>
          </w:tcPr>
          <w:p w14:paraId="5865E943" w14:textId="77777777" w:rsidR="00B6629B" w:rsidRDefault="00B6629B" w:rsidP="00B6629B">
            <w:r w:rsidRPr="00B6629B">
              <w:t>Next Review Due: (Governance Purpose Only)</w:t>
            </w:r>
          </w:p>
        </w:tc>
        <w:tc>
          <w:tcPr>
            <w:tcW w:w="6231" w:type="dxa"/>
            <w:vAlign w:val="center"/>
          </w:tcPr>
          <w:p w14:paraId="58B29AB6" w14:textId="5656A93F" w:rsidR="00B6629B" w:rsidRDefault="00F87DC9" w:rsidP="00B6629B">
            <w:r>
              <w:rPr>
                <w:rFonts w:cs="Arial"/>
              </w:rPr>
              <w:t>Septe</w:t>
            </w:r>
            <w:r w:rsidR="00F722FD">
              <w:rPr>
                <w:rFonts w:cs="Arial"/>
              </w:rPr>
              <w:t>mber 2026</w:t>
            </w:r>
          </w:p>
        </w:tc>
      </w:tr>
      <w:tr w:rsidR="00B6629B" w14:paraId="7B0CAB98" w14:textId="77777777" w:rsidTr="00B6629B">
        <w:trPr>
          <w:trHeight w:val="284"/>
        </w:trPr>
        <w:tc>
          <w:tcPr>
            <w:tcW w:w="3397" w:type="dxa"/>
            <w:vAlign w:val="center"/>
          </w:tcPr>
          <w:p w14:paraId="54F80268" w14:textId="77777777" w:rsidR="00B6629B" w:rsidRDefault="00B6629B" w:rsidP="00B6629B">
            <w:r w:rsidRPr="00B6629B">
              <w:t>ECM Doc Set ID: (Governance Purpose Only)</w:t>
            </w:r>
          </w:p>
        </w:tc>
        <w:tc>
          <w:tcPr>
            <w:tcW w:w="6231" w:type="dxa"/>
            <w:vAlign w:val="center"/>
          </w:tcPr>
          <w:p w14:paraId="498128F2" w14:textId="30EDA50C" w:rsidR="00B6629B" w:rsidRDefault="001362CC" w:rsidP="00B6629B">
            <w:r w:rsidRPr="001362CC">
              <w:t>12060237</w:t>
            </w:r>
          </w:p>
        </w:tc>
      </w:tr>
    </w:tbl>
    <w:p w14:paraId="301FE4B3" w14:textId="77777777" w:rsidR="00F66C90" w:rsidRDefault="00F66C90" w:rsidP="001846A8"/>
    <w:p w14:paraId="529571E1" w14:textId="77777777" w:rsidR="00F722FD" w:rsidRDefault="00F722FD" w:rsidP="001846A8"/>
    <w:sectPr w:rsidR="00F722FD" w:rsidSect="005F1700">
      <w:footerReference w:type="even" r:id="rId7"/>
      <w:footerReference w:type="default" r:id="rId8"/>
      <w:headerReference w:type="first" r:id="rId9"/>
      <w:footerReference w:type="firs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0DF08" w14:textId="77777777" w:rsidR="00446CC1" w:rsidRDefault="00446CC1" w:rsidP="001F7EFD">
      <w:pPr>
        <w:spacing w:line="240" w:lineRule="auto"/>
      </w:pPr>
      <w:r>
        <w:separator/>
      </w:r>
    </w:p>
  </w:endnote>
  <w:endnote w:type="continuationSeparator" w:id="0">
    <w:p w14:paraId="2966A3F1" w14:textId="77777777" w:rsidR="00446CC1" w:rsidRDefault="00446CC1" w:rsidP="001F7E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0824390"/>
      <w:docPartObj>
        <w:docPartGallery w:val="Page Numbers (Bottom of Page)"/>
        <w:docPartUnique/>
      </w:docPartObj>
    </w:sdtPr>
    <w:sdtEndPr>
      <w:rPr>
        <w:rStyle w:val="PageNumber"/>
      </w:rPr>
    </w:sdtEndPr>
    <w:sdtContent>
      <w:p w14:paraId="230F9FF0" w14:textId="77777777" w:rsidR="00554101" w:rsidRDefault="00554101" w:rsidP="007D2B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22862492"/>
      <w:docPartObj>
        <w:docPartGallery w:val="Page Numbers (Bottom of Page)"/>
        <w:docPartUnique/>
      </w:docPartObj>
    </w:sdtPr>
    <w:sdtEndPr>
      <w:rPr>
        <w:rStyle w:val="PageNumber"/>
      </w:rPr>
    </w:sdtEndPr>
    <w:sdtContent>
      <w:p w14:paraId="29777502" w14:textId="77777777" w:rsidR="001F7EFD" w:rsidRDefault="001F7EFD" w:rsidP="0055410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D097C1" w14:textId="77777777" w:rsidR="001F7EFD" w:rsidRDefault="001F7EFD" w:rsidP="001F7E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E3CB" w14:textId="77777777" w:rsidR="00554101" w:rsidRPr="00554101" w:rsidRDefault="00554101" w:rsidP="007D2BB5">
    <w:pPr>
      <w:pStyle w:val="Footer"/>
      <w:framePr w:wrap="none" w:vAnchor="text" w:hAnchor="margin" w:xAlign="right" w:y="1"/>
      <w:rPr>
        <w:rStyle w:val="PageNumber"/>
        <w:sz w:val="20"/>
        <w:szCs w:val="20"/>
      </w:rPr>
    </w:pPr>
    <w:r w:rsidRPr="00554101">
      <w:rPr>
        <w:rStyle w:val="PageNumber"/>
        <w:sz w:val="20"/>
        <w:szCs w:val="20"/>
      </w:rPr>
      <w:t xml:space="preserve">page </w:t>
    </w:r>
    <w:sdt>
      <w:sdtPr>
        <w:rPr>
          <w:rStyle w:val="PageNumber"/>
          <w:sz w:val="20"/>
          <w:szCs w:val="20"/>
        </w:rPr>
        <w:id w:val="196737472"/>
        <w:docPartObj>
          <w:docPartGallery w:val="Page Numbers (Bottom of Page)"/>
          <w:docPartUnique/>
        </w:docPartObj>
      </w:sdtPr>
      <w:sdtEndPr>
        <w:rPr>
          <w:rStyle w:val="PageNumber"/>
        </w:rPr>
      </w:sdtEndPr>
      <w:sdtContent>
        <w:r w:rsidRPr="00554101">
          <w:rPr>
            <w:rStyle w:val="PageNumber"/>
            <w:sz w:val="20"/>
            <w:szCs w:val="20"/>
          </w:rPr>
          <w:fldChar w:fldCharType="begin"/>
        </w:r>
        <w:r w:rsidRPr="00554101">
          <w:rPr>
            <w:rStyle w:val="PageNumber"/>
            <w:sz w:val="20"/>
            <w:szCs w:val="20"/>
          </w:rPr>
          <w:instrText xml:space="preserve"> PAGE </w:instrText>
        </w:r>
        <w:r w:rsidRPr="00554101">
          <w:rPr>
            <w:rStyle w:val="PageNumber"/>
            <w:sz w:val="20"/>
            <w:szCs w:val="20"/>
          </w:rPr>
          <w:fldChar w:fldCharType="separate"/>
        </w:r>
        <w:r w:rsidRPr="00554101">
          <w:rPr>
            <w:rStyle w:val="PageNumber"/>
            <w:noProof/>
            <w:sz w:val="20"/>
            <w:szCs w:val="20"/>
          </w:rPr>
          <w:t>3</w:t>
        </w:r>
        <w:r w:rsidRPr="00554101">
          <w:rPr>
            <w:rStyle w:val="PageNumber"/>
            <w:sz w:val="20"/>
            <w:szCs w:val="20"/>
          </w:rPr>
          <w:fldChar w:fldCharType="end"/>
        </w:r>
      </w:sdtContent>
    </w:sdt>
  </w:p>
  <w:p w14:paraId="0BC6AECD" w14:textId="197D4F12" w:rsidR="00554101" w:rsidRDefault="00DD2318" w:rsidP="00554101">
    <w:pPr>
      <w:pStyle w:val="Footer"/>
      <w:ind w:right="360"/>
    </w:pPr>
    <w:r>
      <w:rPr>
        <w:noProof/>
      </w:rPr>
      <w:drawing>
        <wp:anchor distT="0" distB="0" distL="114300" distR="114300" simplePos="0" relativeHeight="251661312" behindDoc="1" locked="0" layoutInCell="1" allowOverlap="1" wp14:anchorId="3FD8D3E7" wp14:editId="7C462DBD">
          <wp:simplePos x="0" y="0"/>
          <wp:positionH relativeFrom="margin">
            <wp:posOffset>-796925</wp:posOffset>
          </wp:positionH>
          <wp:positionV relativeFrom="paragraph">
            <wp:posOffset>31799</wp:posOffset>
          </wp:positionV>
          <wp:extent cx="7766314" cy="1048452"/>
          <wp:effectExtent l="0" t="0" r="0" b="5715"/>
          <wp:wrapNone/>
          <wp:docPr id="2865596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r w:rsidR="00554101">
      <w:rPr>
        <w:sz w:val="20"/>
        <w:szCs w:val="20"/>
      </w:rPr>
      <w:tab/>
    </w:r>
  </w:p>
  <w:p w14:paraId="602CAFF5" w14:textId="77777777" w:rsidR="001F7EFD" w:rsidRPr="00554101" w:rsidRDefault="001F7EFD" w:rsidP="00554101">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A9D29" w14:textId="77777777" w:rsidR="009C62E2" w:rsidRDefault="009C62E2">
    <w:pPr>
      <w:pStyle w:val="Footer"/>
    </w:pPr>
    <w:r>
      <w:rPr>
        <w:noProof/>
      </w:rPr>
      <w:drawing>
        <wp:anchor distT="0" distB="0" distL="114300" distR="114300" simplePos="0" relativeHeight="251663360" behindDoc="1" locked="0" layoutInCell="1" allowOverlap="1" wp14:anchorId="111DCDB0" wp14:editId="3F688EA9">
          <wp:simplePos x="0" y="0"/>
          <wp:positionH relativeFrom="margin">
            <wp:posOffset>-724487</wp:posOffset>
          </wp:positionH>
          <wp:positionV relativeFrom="paragraph">
            <wp:posOffset>-35169</wp:posOffset>
          </wp:positionV>
          <wp:extent cx="7766314" cy="1048452"/>
          <wp:effectExtent l="0" t="0" r="0" b="5715"/>
          <wp:wrapNone/>
          <wp:docPr id="11579157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9E70B" w14:textId="77777777" w:rsidR="00446CC1" w:rsidRDefault="00446CC1" w:rsidP="001F7EFD">
      <w:pPr>
        <w:spacing w:line="240" w:lineRule="auto"/>
      </w:pPr>
      <w:r>
        <w:separator/>
      </w:r>
    </w:p>
  </w:footnote>
  <w:footnote w:type="continuationSeparator" w:id="0">
    <w:p w14:paraId="60539424" w14:textId="77777777" w:rsidR="00446CC1" w:rsidRDefault="00446CC1" w:rsidP="001F7E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C7538" w14:textId="77777777" w:rsidR="00DD2318" w:rsidRDefault="00DD2318">
    <w:pPr>
      <w:pStyle w:val="Header"/>
    </w:pPr>
    <w:r w:rsidRPr="00F94F2C">
      <w:rPr>
        <w:rFonts w:ascii="Arial Bold" w:hAnsi="Arial Bold" w:cs="Arial"/>
        <w:b/>
        <w:caps/>
        <w:noProof/>
        <w:color w:val="2B579A"/>
        <w:shd w:val="clear" w:color="auto" w:fill="E6E6E6"/>
      </w:rPr>
      <w:drawing>
        <wp:anchor distT="0" distB="0" distL="114300" distR="114300" simplePos="0" relativeHeight="251659264" behindDoc="0" locked="0" layoutInCell="1" allowOverlap="1" wp14:anchorId="2B55B049" wp14:editId="1158A77B">
          <wp:simplePos x="0" y="0"/>
          <wp:positionH relativeFrom="column">
            <wp:posOffset>4621237</wp:posOffset>
          </wp:positionH>
          <wp:positionV relativeFrom="paragraph">
            <wp:posOffset>-635</wp:posOffset>
          </wp:positionV>
          <wp:extent cx="1422972" cy="1154936"/>
          <wp:effectExtent l="0" t="0" r="6350" b="7620"/>
          <wp:wrapNone/>
          <wp:docPr id="6" name="Picture 6" descr="A logo for the City of Cockburn, located on the top right corner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for the City of Cockburn, located on the top right corner of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972" cy="115493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631F7"/>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2CC35B0"/>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30204F3"/>
    <w:multiLevelType w:val="hybridMultilevel"/>
    <w:tmpl w:val="2FFC31C4"/>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3B9C0000"/>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361" w:hanging="68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1FD47C7"/>
    <w:multiLevelType w:val="multilevel"/>
    <w:tmpl w:val="9AECD016"/>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tabs>
          <w:tab w:val="num" w:pos="1247"/>
        </w:tabs>
        <w:ind w:left="1701" w:hanging="454"/>
      </w:pPr>
      <w:rPr>
        <w:rFonts w:hint="default"/>
      </w:rPr>
    </w:lvl>
    <w:lvl w:ilvl="3">
      <w:start w:val="1"/>
      <w:numFmt w:val="decimal"/>
      <w:lvlText w:val="%1.%2.%3.%4."/>
      <w:lvlJc w:val="left"/>
      <w:pPr>
        <w:tabs>
          <w:tab w:val="num" w:pos="2381"/>
        </w:tabs>
        <w:ind w:left="2835" w:hanging="45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94E7FF5"/>
    <w:multiLevelType w:val="hybridMultilevel"/>
    <w:tmpl w:val="3AE6DC60"/>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4B1B15EA"/>
    <w:multiLevelType w:val="hybridMultilevel"/>
    <w:tmpl w:val="BFFA5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03221F"/>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D39377C"/>
    <w:multiLevelType w:val="hybridMultilevel"/>
    <w:tmpl w:val="96F01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7E70B0"/>
    <w:multiLevelType w:val="hybridMultilevel"/>
    <w:tmpl w:val="86A008E8"/>
    <w:lvl w:ilvl="0" w:tplc="D2C2091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4FE00274"/>
    <w:multiLevelType w:val="hybridMultilevel"/>
    <w:tmpl w:val="A23C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396E57"/>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2DE5EF1"/>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7215EB8"/>
    <w:multiLevelType w:val="hybridMultilevel"/>
    <w:tmpl w:val="0CCC4946"/>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EED6E12"/>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E6F72E6"/>
    <w:multiLevelType w:val="hybridMultilevel"/>
    <w:tmpl w:val="558C30A8"/>
    <w:lvl w:ilvl="0" w:tplc="72EC59F6">
      <w:start w:val="1"/>
      <w:numFmt w:val="bullet"/>
      <w:lvlText w:val=""/>
      <w:lvlJc w:val="left"/>
      <w:pPr>
        <w:ind w:left="680" w:hanging="340"/>
      </w:pPr>
      <w:rPr>
        <w:rFonts w:ascii="Symbol" w:hAnsi="Symbol" w:hint="default"/>
        <w:b w:val="0"/>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F561CE"/>
    <w:multiLevelType w:val="hybridMultilevel"/>
    <w:tmpl w:val="24A4EB5E"/>
    <w:lvl w:ilvl="0" w:tplc="72EC59F6">
      <w:start w:val="1"/>
      <w:numFmt w:val="bullet"/>
      <w:lvlText w:val=""/>
      <w:lvlJc w:val="left"/>
      <w:pPr>
        <w:ind w:left="680" w:hanging="340"/>
      </w:pPr>
      <w:rPr>
        <w:rFonts w:ascii="Symbol" w:hAnsi="Symbol" w:hint="default"/>
        <w:b w:val="0"/>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5214A85"/>
    <w:multiLevelType w:val="hybridMultilevel"/>
    <w:tmpl w:val="CC44D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84412DD"/>
    <w:multiLevelType w:val="hybridMultilevel"/>
    <w:tmpl w:val="D814190C"/>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8B1661C"/>
    <w:multiLevelType w:val="multilevel"/>
    <w:tmpl w:val="BAF6F590"/>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tabs>
          <w:tab w:val="num" w:pos="1021"/>
        </w:tabs>
        <w:ind w:left="1021" w:hanging="3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D9B6EF2"/>
    <w:multiLevelType w:val="hybridMultilevel"/>
    <w:tmpl w:val="63949CEC"/>
    <w:lvl w:ilvl="0" w:tplc="59B26CF0">
      <w:start w:val="1"/>
      <w:numFmt w:val="bullet"/>
      <w:lvlText w:val=""/>
      <w:lvlJc w:val="left"/>
      <w:pPr>
        <w:ind w:left="680"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F0E166B"/>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52324718">
    <w:abstractNumId w:val="17"/>
  </w:num>
  <w:num w:numId="2" w16cid:durableId="2093044096">
    <w:abstractNumId w:val="9"/>
  </w:num>
  <w:num w:numId="3" w16cid:durableId="545683369">
    <w:abstractNumId w:val="13"/>
  </w:num>
  <w:num w:numId="4" w16cid:durableId="613902026">
    <w:abstractNumId w:val="2"/>
  </w:num>
  <w:num w:numId="5" w16cid:durableId="1942909448">
    <w:abstractNumId w:val="5"/>
  </w:num>
  <w:num w:numId="6" w16cid:durableId="1298878988">
    <w:abstractNumId w:val="18"/>
  </w:num>
  <w:num w:numId="7" w16cid:durableId="1804349771">
    <w:abstractNumId w:val="8"/>
  </w:num>
  <w:num w:numId="8" w16cid:durableId="1822188568">
    <w:abstractNumId w:val="6"/>
  </w:num>
  <w:num w:numId="9" w16cid:durableId="217399076">
    <w:abstractNumId w:val="0"/>
  </w:num>
  <w:num w:numId="10" w16cid:durableId="667100200">
    <w:abstractNumId w:val="7"/>
  </w:num>
  <w:num w:numId="11" w16cid:durableId="814958369">
    <w:abstractNumId w:val="19"/>
  </w:num>
  <w:num w:numId="12" w16cid:durableId="185948558">
    <w:abstractNumId w:val="7"/>
    <w:lvlOverride w:ilvl="0">
      <w:lvl w:ilvl="0">
        <w:start w:val="1"/>
        <w:numFmt w:val="decimal"/>
        <w:lvlText w:val="%1."/>
        <w:lvlJc w:val="left"/>
        <w:pPr>
          <w:ind w:left="680" w:hanging="340"/>
        </w:pPr>
        <w:rPr>
          <w:rFonts w:ascii="Arial" w:hAnsi="Arial" w:hint="default"/>
          <w:b w:val="0"/>
          <w:i w:val="0"/>
          <w:color w:val="000000" w:themeColor="text1"/>
          <w:sz w:val="24"/>
        </w:rPr>
      </w:lvl>
    </w:lvlOverride>
    <w:lvlOverride w:ilvl="1">
      <w:lvl w:ilvl="1">
        <w:start w:val="1"/>
        <w:numFmt w:val="decimal"/>
        <w:lvlText w:val="%1.%2."/>
        <w:lvlJc w:val="left"/>
        <w:pPr>
          <w:ind w:left="1361" w:hanging="68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280377025">
    <w:abstractNumId w:val="3"/>
  </w:num>
  <w:num w:numId="14" w16cid:durableId="858738180">
    <w:abstractNumId w:val="4"/>
  </w:num>
  <w:num w:numId="15" w16cid:durableId="533351901">
    <w:abstractNumId w:val="12"/>
  </w:num>
  <w:num w:numId="16" w16cid:durableId="1076710405">
    <w:abstractNumId w:val="1"/>
  </w:num>
  <w:num w:numId="17" w16cid:durableId="2064404760">
    <w:abstractNumId w:val="11"/>
  </w:num>
  <w:num w:numId="18" w16cid:durableId="722409723">
    <w:abstractNumId w:val="21"/>
  </w:num>
  <w:num w:numId="19" w16cid:durableId="230774448">
    <w:abstractNumId w:val="14"/>
  </w:num>
  <w:num w:numId="20" w16cid:durableId="506558347">
    <w:abstractNumId w:val="10"/>
  </w:num>
  <w:num w:numId="21" w16cid:durableId="287593104">
    <w:abstractNumId w:val="20"/>
  </w:num>
  <w:num w:numId="22" w16cid:durableId="1600219550">
    <w:abstractNumId w:val="16"/>
  </w:num>
  <w:num w:numId="23" w16cid:durableId="1561932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C1"/>
    <w:rsid w:val="00097410"/>
    <w:rsid w:val="000A64F4"/>
    <w:rsid w:val="000C0F25"/>
    <w:rsid w:val="001362CC"/>
    <w:rsid w:val="001846A8"/>
    <w:rsid w:val="001F7944"/>
    <w:rsid w:val="001F7EFD"/>
    <w:rsid w:val="0024194A"/>
    <w:rsid w:val="002638F1"/>
    <w:rsid w:val="002B131C"/>
    <w:rsid w:val="002C4BAD"/>
    <w:rsid w:val="002E7313"/>
    <w:rsid w:val="0030612E"/>
    <w:rsid w:val="00446CC1"/>
    <w:rsid w:val="004B7AC1"/>
    <w:rsid w:val="00554101"/>
    <w:rsid w:val="005F1700"/>
    <w:rsid w:val="007A4FF1"/>
    <w:rsid w:val="007D500E"/>
    <w:rsid w:val="00811E1E"/>
    <w:rsid w:val="008244E5"/>
    <w:rsid w:val="00854990"/>
    <w:rsid w:val="008723A0"/>
    <w:rsid w:val="00880835"/>
    <w:rsid w:val="00886D5E"/>
    <w:rsid w:val="00890625"/>
    <w:rsid w:val="00931ADA"/>
    <w:rsid w:val="009C62E2"/>
    <w:rsid w:val="00A46AD1"/>
    <w:rsid w:val="00B27C8C"/>
    <w:rsid w:val="00B37A58"/>
    <w:rsid w:val="00B44F70"/>
    <w:rsid w:val="00B6629B"/>
    <w:rsid w:val="00C0253E"/>
    <w:rsid w:val="00C8322E"/>
    <w:rsid w:val="00CC5E57"/>
    <w:rsid w:val="00D70B88"/>
    <w:rsid w:val="00DD2318"/>
    <w:rsid w:val="00EA34E3"/>
    <w:rsid w:val="00EF0916"/>
    <w:rsid w:val="00F63CC5"/>
    <w:rsid w:val="00F66C90"/>
    <w:rsid w:val="00F722FD"/>
    <w:rsid w:val="00F87DC9"/>
    <w:rsid w:val="00FD2B33"/>
    <w:rsid w:val="00FF07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76D3"/>
  <w15:chartTrackingRefBased/>
  <w15:docId w15:val="{A02725F8-D3D3-471D-8806-A6037E52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4E3"/>
    <w:pPr>
      <w:spacing w:line="288" w:lineRule="auto"/>
    </w:pPr>
    <w:rPr>
      <w:rFonts w:ascii="Arial" w:eastAsia="Times New Roman" w:hAnsi="Arial" w:cs="Times New Roman"/>
      <w:color w:val="000000" w:themeColor="text1"/>
      <w:kern w:val="0"/>
      <w:lang w:eastAsia="en-AU"/>
      <w14:ligatures w14:val="none"/>
    </w:rPr>
  </w:style>
  <w:style w:type="paragraph" w:styleId="Heading1">
    <w:name w:val="heading 1"/>
    <w:next w:val="Normal"/>
    <w:link w:val="Heading1Char"/>
    <w:uiPriority w:val="9"/>
    <w:qFormat/>
    <w:rsid w:val="001846A8"/>
    <w:pPr>
      <w:keepNext/>
      <w:keepLines/>
      <w:spacing w:after="120"/>
      <w:outlineLvl w:val="0"/>
    </w:pPr>
    <w:rPr>
      <w:rFonts w:ascii="Arial" w:eastAsiaTheme="majorEastAsia" w:hAnsi="Arial" w:cs="Times New Roman (Headings CS)"/>
      <w:b/>
      <w:color w:val="173C67"/>
      <w:kern w:val="0"/>
      <w:sz w:val="28"/>
      <w:szCs w:val="40"/>
      <w:lang w:eastAsia="en-AU"/>
      <w14:ligatures w14:val="none"/>
    </w:rPr>
  </w:style>
  <w:style w:type="paragraph" w:styleId="Heading2">
    <w:name w:val="heading 2"/>
    <w:basedOn w:val="Normal"/>
    <w:next w:val="Normal"/>
    <w:link w:val="Heading2Char"/>
    <w:uiPriority w:val="9"/>
    <w:semiHidden/>
    <w:unhideWhenUsed/>
    <w:qFormat/>
    <w:rsid w:val="00263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8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8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8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8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8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8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8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6A8"/>
    <w:rPr>
      <w:rFonts w:ascii="Arial" w:eastAsiaTheme="majorEastAsia" w:hAnsi="Arial" w:cs="Times New Roman (Headings CS)"/>
      <w:b/>
      <w:color w:val="173C67"/>
      <w:kern w:val="0"/>
      <w:sz w:val="28"/>
      <w:szCs w:val="40"/>
      <w:lang w:eastAsia="en-AU"/>
      <w14:ligatures w14:val="none"/>
    </w:rPr>
  </w:style>
  <w:style w:type="character" w:customStyle="1" w:styleId="Heading2Char">
    <w:name w:val="Heading 2 Char"/>
    <w:basedOn w:val="DefaultParagraphFont"/>
    <w:link w:val="Heading2"/>
    <w:uiPriority w:val="9"/>
    <w:semiHidden/>
    <w:rsid w:val="00263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8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8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8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8F1"/>
    <w:rPr>
      <w:rFonts w:eastAsiaTheme="majorEastAsia" w:cstheme="majorBidi"/>
      <w:color w:val="272727" w:themeColor="text1" w:themeTint="D8"/>
    </w:rPr>
  </w:style>
  <w:style w:type="paragraph" w:styleId="Title">
    <w:name w:val="Title"/>
    <w:basedOn w:val="Normal"/>
    <w:next w:val="Normal"/>
    <w:link w:val="TitleChar"/>
    <w:uiPriority w:val="10"/>
    <w:qFormat/>
    <w:rsid w:val="002E7313"/>
    <w:pPr>
      <w:spacing w:after="80"/>
      <w:contextualSpacing/>
    </w:pPr>
    <w:rPr>
      <w:rFonts w:eastAsiaTheme="majorEastAsia" w:cs="Times New Roman (Headings CS)"/>
      <w:kern w:val="28"/>
      <w:sz w:val="36"/>
      <w:szCs w:val="56"/>
      <w:lang w:eastAsia="en-US"/>
      <w14:ligatures w14:val="standardContextual"/>
    </w:rPr>
  </w:style>
  <w:style w:type="character" w:customStyle="1" w:styleId="TitleChar">
    <w:name w:val="Title Char"/>
    <w:basedOn w:val="DefaultParagraphFont"/>
    <w:link w:val="Title"/>
    <w:uiPriority w:val="10"/>
    <w:rsid w:val="002E7313"/>
    <w:rPr>
      <w:rFonts w:ascii="Arial" w:eastAsiaTheme="majorEastAsia" w:hAnsi="Arial" w:cs="Times New Roman (Headings CS)"/>
      <w:color w:val="000000" w:themeColor="text1"/>
      <w:kern w:val="28"/>
      <w:sz w:val="36"/>
      <w:szCs w:val="56"/>
    </w:rPr>
  </w:style>
  <w:style w:type="paragraph" w:styleId="Subtitle">
    <w:name w:val="Subtitle"/>
    <w:next w:val="Normal"/>
    <w:link w:val="SubtitleChar"/>
    <w:uiPriority w:val="11"/>
    <w:qFormat/>
    <w:rsid w:val="001846A8"/>
    <w:pPr>
      <w:numPr>
        <w:ilvl w:val="1"/>
      </w:numPr>
    </w:pPr>
    <w:rPr>
      <w:rFonts w:ascii="Arial" w:eastAsiaTheme="majorEastAsia" w:hAnsi="Arial" w:cs="Times New Roman (Headings CS)"/>
      <w:color w:val="000000" w:themeColor="text1"/>
      <w:kern w:val="0"/>
      <w:sz w:val="28"/>
      <w:szCs w:val="28"/>
      <w:lang w:eastAsia="en-AU"/>
      <w14:ligatures w14:val="none"/>
    </w:rPr>
  </w:style>
  <w:style w:type="character" w:customStyle="1" w:styleId="SubtitleChar">
    <w:name w:val="Subtitle Char"/>
    <w:basedOn w:val="DefaultParagraphFont"/>
    <w:link w:val="Subtitle"/>
    <w:uiPriority w:val="11"/>
    <w:rsid w:val="001846A8"/>
    <w:rPr>
      <w:rFonts w:ascii="Arial" w:eastAsiaTheme="majorEastAsia" w:hAnsi="Arial" w:cs="Times New Roman (Headings CS)"/>
      <w:color w:val="000000" w:themeColor="text1"/>
      <w:kern w:val="0"/>
      <w:sz w:val="28"/>
      <w:szCs w:val="28"/>
      <w:lang w:eastAsia="en-AU"/>
      <w14:ligatures w14:val="none"/>
    </w:rPr>
  </w:style>
  <w:style w:type="paragraph" w:styleId="Quote">
    <w:name w:val="Quote"/>
    <w:basedOn w:val="Normal"/>
    <w:next w:val="Normal"/>
    <w:link w:val="QuoteChar"/>
    <w:uiPriority w:val="29"/>
    <w:qFormat/>
    <w:rsid w:val="002638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38F1"/>
    <w:rPr>
      <w:i/>
      <w:iCs/>
      <w:color w:val="404040" w:themeColor="text1" w:themeTint="BF"/>
    </w:rPr>
  </w:style>
  <w:style w:type="paragraph" w:styleId="ListParagraph">
    <w:name w:val="List Paragraph"/>
    <w:basedOn w:val="Normal"/>
    <w:uiPriority w:val="34"/>
    <w:qFormat/>
    <w:rsid w:val="002638F1"/>
    <w:pPr>
      <w:ind w:left="720"/>
      <w:contextualSpacing/>
    </w:pPr>
  </w:style>
  <w:style w:type="character" w:styleId="IntenseEmphasis">
    <w:name w:val="Intense Emphasis"/>
    <w:basedOn w:val="DefaultParagraphFont"/>
    <w:uiPriority w:val="21"/>
    <w:qFormat/>
    <w:rsid w:val="002638F1"/>
    <w:rPr>
      <w:i/>
      <w:iCs/>
      <w:color w:val="0F4761" w:themeColor="accent1" w:themeShade="BF"/>
    </w:rPr>
  </w:style>
  <w:style w:type="paragraph" w:styleId="IntenseQuote">
    <w:name w:val="Intense Quote"/>
    <w:basedOn w:val="Normal"/>
    <w:next w:val="Normal"/>
    <w:link w:val="IntenseQuoteChar"/>
    <w:uiPriority w:val="30"/>
    <w:qFormat/>
    <w:rsid w:val="00263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8F1"/>
    <w:rPr>
      <w:i/>
      <w:iCs/>
      <w:color w:val="0F4761" w:themeColor="accent1" w:themeShade="BF"/>
    </w:rPr>
  </w:style>
  <w:style w:type="character" w:styleId="IntenseReference">
    <w:name w:val="Intense Reference"/>
    <w:basedOn w:val="DefaultParagraphFont"/>
    <w:uiPriority w:val="32"/>
    <w:qFormat/>
    <w:rsid w:val="002638F1"/>
    <w:rPr>
      <w:b/>
      <w:bCs/>
      <w:smallCaps/>
      <w:color w:val="0F4761" w:themeColor="accent1" w:themeShade="BF"/>
      <w:spacing w:val="5"/>
    </w:rPr>
  </w:style>
  <w:style w:type="paragraph" w:styleId="Header">
    <w:name w:val="header"/>
    <w:basedOn w:val="Normal"/>
    <w:link w:val="HeaderChar"/>
    <w:rsid w:val="002638F1"/>
    <w:pPr>
      <w:tabs>
        <w:tab w:val="center" w:pos="4153"/>
        <w:tab w:val="right" w:pos="8306"/>
      </w:tabs>
    </w:pPr>
  </w:style>
  <w:style w:type="character" w:customStyle="1" w:styleId="HeaderChar">
    <w:name w:val="Header Char"/>
    <w:basedOn w:val="DefaultParagraphFont"/>
    <w:link w:val="Header"/>
    <w:rsid w:val="002638F1"/>
    <w:rPr>
      <w:rFonts w:ascii="Times New Roman" w:eastAsia="Times New Roman" w:hAnsi="Times New Roman" w:cs="Times New Roman"/>
      <w:kern w:val="0"/>
      <w:lang w:eastAsia="en-AU"/>
      <w14:ligatures w14:val="none"/>
    </w:rPr>
  </w:style>
  <w:style w:type="character" w:styleId="Hyperlink">
    <w:name w:val="Hyperlink"/>
    <w:rsid w:val="00EA34E3"/>
    <w:rPr>
      <w:rFonts w:ascii="Arial" w:hAnsi="Arial"/>
      <w:color w:val="auto"/>
      <w:u w:val="none"/>
    </w:rPr>
  </w:style>
  <w:style w:type="paragraph" w:styleId="CommentText">
    <w:name w:val="annotation text"/>
    <w:basedOn w:val="Normal"/>
    <w:link w:val="CommentTextChar"/>
    <w:unhideWhenUsed/>
    <w:rsid w:val="00EA34E3"/>
    <w:pPr>
      <w:spacing w:line="240" w:lineRule="auto"/>
    </w:pPr>
    <w:rPr>
      <w:rFonts w:ascii="Times New Roman" w:hAnsi="Times New Roman"/>
      <w:color w:val="auto"/>
      <w:sz w:val="20"/>
      <w:szCs w:val="20"/>
    </w:rPr>
  </w:style>
  <w:style w:type="character" w:customStyle="1" w:styleId="CommentTextChar">
    <w:name w:val="Comment Text Char"/>
    <w:basedOn w:val="DefaultParagraphFont"/>
    <w:link w:val="CommentText"/>
    <w:rsid w:val="00EA34E3"/>
    <w:rPr>
      <w:rFonts w:ascii="Times New Roman" w:eastAsia="Times New Roman" w:hAnsi="Times New Roman" w:cs="Times New Roman"/>
      <w:kern w:val="0"/>
      <w:sz w:val="20"/>
      <w:szCs w:val="20"/>
      <w:lang w:eastAsia="en-AU"/>
      <w14:ligatures w14:val="none"/>
    </w:rPr>
  </w:style>
  <w:style w:type="character" w:styleId="CommentReference">
    <w:name w:val="annotation reference"/>
    <w:basedOn w:val="DefaultParagraphFont"/>
    <w:semiHidden/>
    <w:unhideWhenUsed/>
    <w:rsid w:val="00EA34E3"/>
    <w:rPr>
      <w:sz w:val="16"/>
      <w:szCs w:val="16"/>
    </w:rPr>
  </w:style>
  <w:style w:type="character" w:styleId="FollowedHyperlink">
    <w:name w:val="FollowedHyperlink"/>
    <w:basedOn w:val="DefaultParagraphFont"/>
    <w:uiPriority w:val="99"/>
    <w:semiHidden/>
    <w:unhideWhenUsed/>
    <w:rsid w:val="00FD2B33"/>
    <w:rPr>
      <w:color w:val="96607D" w:themeColor="followedHyperlink"/>
      <w:u w:val="single"/>
    </w:rPr>
  </w:style>
  <w:style w:type="paragraph" w:styleId="NoSpacing">
    <w:name w:val="No Spacing"/>
    <w:uiPriority w:val="1"/>
    <w:qFormat/>
    <w:rsid w:val="00FD2B33"/>
    <w:rPr>
      <w:rFonts w:ascii="Arial" w:eastAsia="Times New Roman" w:hAnsi="Arial" w:cs="Times New Roman"/>
      <w:color w:val="000000" w:themeColor="text1"/>
      <w:kern w:val="0"/>
      <w:lang w:eastAsia="en-AU"/>
      <w14:ligatures w14:val="none"/>
    </w:rPr>
  </w:style>
  <w:style w:type="paragraph" w:styleId="Footer">
    <w:name w:val="footer"/>
    <w:basedOn w:val="Normal"/>
    <w:link w:val="FooterChar"/>
    <w:uiPriority w:val="99"/>
    <w:unhideWhenUsed/>
    <w:rsid w:val="001F7EFD"/>
    <w:pPr>
      <w:tabs>
        <w:tab w:val="center" w:pos="4513"/>
        <w:tab w:val="right" w:pos="9026"/>
      </w:tabs>
      <w:spacing w:line="240" w:lineRule="auto"/>
    </w:pPr>
  </w:style>
  <w:style w:type="character" w:customStyle="1" w:styleId="FooterChar">
    <w:name w:val="Footer Char"/>
    <w:basedOn w:val="DefaultParagraphFont"/>
    <w:link w:val="Footer"/>
    <w:uiPriority w:val="99"/>
    <w:rsid w:val="001F7EFD"/>
    <w:rPr>
      <w:rFonts w:ascii="Arial" w:eastAsia="Times New Roman" w:hAnsi="Arial" w:cs="Times New Roman"/>
      <w:color w:val="000000" w:themeColor="text1"/>
      <w:kern w:val="0"/>
      <w:lang w:eastAsia="en-AU"/>
      <w14:ligatures w14:val="none"/>
    </w:rPr>
  </w:style>
  <w:style w:type="character" w:styleId="PageNumber">
    <w:name w:val="page number"/>
    <w:basedOn w:val="DefaultParagraphFont"/>
    <w:uiPriority w:val="99"/>
    <w:semiHidden/>
    <w:unhideWhenUsed/>
    <w:rsid w:val="001F7EFD"/>
  </w:style>
  <w:style w:type="table" w:styleId="TableGrid">
    <w:name w:val="Table Grid"/>
    <w:basedOn w:val="TableNormal"/>
    <w:uiPriority w:val="39"/>
    <w:rsid w:val="00B66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6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58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1128</Words>
  <Characters>6173</Characters>
  <Application>Microsoft Office Word</Application>
  <DocSecurity>0</DocSecurity>
  <Lines>176</Lines>
  <Paragraphs>91</Paragraphs>
  <ScaleCrop>false</ScaleCrop>
  <HeadingPairs>
    <vt:vector size="2" baseType="variant">
      <vt:variant>
        <vt:lpstr>Title</vt:lpstr>
      </vt:variant>
      <vt:variant>
        <vt:i4>1</vt:i4>
      </vt:variant>
    </vt:vector>
  </HeadingPairs>
  <TitlesOfParts>
    <vt:vector size="1" baseType="lpstr">
      <vt:lpstr>Policy</vt:lpstr>
    </vt:vector>
  </TitlesOfParts>
  <Manager/>
  <Company>City of Cockburn</Company>
  <LinksUpToDate>false</LinksUpToDate>
  <CharactersWithSpaces>7210</CharactersWithSpaces>
  <SharedDoc>false</SharedDoc>
  <HyperlinkBase>https://www.cockburn.wa.gov.au/City-and-Council/Governance-and-Documents/Council-Policies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Bernie</dc:creator>
  <cp:keywords>City of Cockburn; Policy document;</cp:keywords>
  <dc:description>For more information please email: governance@cockburn.wa.gov.au</dc:description>
  <cp:lastModifiedBy>Bernadette Pinto</cp:lastModifiedBy>
  <cp:revision>5</cp:revision>
  <dcterms:created xsi:type="dcterms:W3CDTF">2024-09-19T02:16:00Z</dcterms:created>
  <dcterms:modified xsi:type="dcterms:W3CDTF">2025-04-22T06:36:00Z</dcterms:modified>
  <cp:category>Policy</cp:category>
</cp:coreProperties>
</file>