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44A6" w14:textId="77777777" w:rsidR="00F94F2C" w:rsidRPr="00F4093A" w:rsidRDefault="009A0A01" w:rsidP="00656C9D">
      <w:pPr>
        <w:tabs>
          <w:tab w:val="left" w:pos="9026"/>
        </w:tabs>
        <w:spacing w:before="2"/>
        <w:ind w:right="-46"/>
        <w:rPr>
          <w:rFonts w:ascii="Arial" w:hAnsi="Arial" w:cs="Arial"/>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495A4208" wp14:editId="26A40001">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72DC0F"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21874B3B" w14:textId="77777777" w:rsidR="00656C9D" w:rsidRPr="00F94F2C" w:rsidRDefault="00656C9D" w:rsidP="00656C9D">
      <w:pPr>
        <w:tabs>
          <w:tab w:val="left" w:pos="9026"/>
        </w:tabs>
        <w:spacing w:before="2"/>
        <w:ind w:right="-46"/>
        <w:rPr>
          <w:rFonts w:ascii="Arial" w:hAnsi="Arial" w:cs="Arial"/>
          <w:b/>
        </w:rPr>
      </w:pPr>
    </w:p>
    <w:p w14:paraId="5E5DCF61" w14:textId="77777777" w:rsidR="00151611" w:rsidRDefault="00F4093A" w:rsidP="00656C9D">
      <w:pPr>
        <w:tabs>
          <w:tab w:val="left" w:pos="9026"/>
        </w:tabs>
        <w:spacing w:before="2"/>
        <w:ind w:right="-46"/>
        <w:rPr>
          <w:rFonts w:ascii="Arial" w:hAnsi="Arial" w:cs="Arial"/>
        </w:rPr>
      </w:pPr>
      <w:r>
        <w:rPr>
          <w:rFonts w:ascii="Arial" w:hAnsi="Arial" w:cs="Arial"/>
        </w:rPr>
        <w:t xml:space="preserve">Council </w:t>
      </w:r>
    </w:p>
    <w:p w14:paraId="4FE997E0" w14:textId="77777777" w:rsidR="00B04DDD" w:rsidRDefault="00B04DDD" w:rsidP="00656C9D">
      <w:pPr>
        <w:tabs>
          <w:tab w:val="left" w:pos="9026"/>
        </w:tabs>
        <w:spacing w:before="2"/>
        <w:ind w:right="-46"/>
        <w:rPr>
          <w:rFonts w:ascii="Arial" w:hAnsi="Arial" w:cs="Arial"/>
        </w:rPr>
      </w:pPr>
    </w:p>
    <w:p w14:paraId="4F744BD5" w14:textId="77777777" w:rsidR="00A40FA5" w:rsidRPr="00F94F2C" w:rsidRDefault="00A40FA5" w:rsidP="00656C9D">
      <w:pPr>
        <w:tabs>
          <w:tab w:val="left" w:pos="9026"/>
        </w:tabs>
        <w:spacing w:before="2"/>
        <w:ind w:right="-46"/>
        <w:rPr>
          <w:rFonts w:ascii="Arial" w:hAnsi="Arial" w:cs="Arial"/>
        </w:rPr>
      </w:pPr>
    </w:p>
    <w:p w14:paraId="3B8E13F4" w14:textId="77777777" w:rsidR="00F4093A" w:rsidRDefault="00656C9D"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r w:rsidR="00F4093A">
        <w:rPr>
          <w:rStyle w:val="Hyperlink"/>
          <w:rFonts w:cs="Arial"/>
          <w:b/>
          <w:bCs/>
        </w:rPr>
        <w:t xml:space="preserve">  </w:t>
      </w:r>
    </w:p>
    <w:p w14:paraId="54A04EDB" w14:textId="77777777" w:rsidR="00F4093A" w:rsidRDefault="00F4093A"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7CA0EAB2" wp14:editId="4458A1AE">
                <wp:simplePos x="0" y="0"/>
                <wp:positionH relativeFrom="column">
                  <wp:posOffset>3810</wp:posOffset>
                </wp:positionH>
                <wp:positionV relativeFrom="paragraph">
                  <wp:posOffset>43180</wp:posOffset>
                </wp:positionV>
                <wp:extent cx="6172200" cy="0"/>
                <wp:effectExtent l="0" t="0" r="19050"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F64CCA"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3.4pt" to="486.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" strokecolor="#7f7f7f" strokeweight=".25pt">
                <o:lock v:ext="edit" shapetype="f"/>
              </v:line>
            </w:pict>
          </mc:Fallback>
        </mc:AlternateContent>
      </w:r>
    </w:p>
    <w:p w14:paraId="24FE11E2" w14:textId="77777777" w:rsidR="00656C9D" w:rsidRPr="00F94F2C" w:rsidRDefault="00F4093A" w:rsidP="00656C9D">
      <w:pPr>
        <w:tabs>
          <w:tab w:val="left" w:pos="9026"/>
        </w:tabs>
        <w:spacing w:before="2"/>
        <w:ind w:right="-46"/>
        <w:rPr>
          <w:rStyle w:val="Hyperlink"/>
          <w:rFonts w:cs="Arial"/>
          <w:b/>
          <w:bCs/>
        </w:rPr>
      </w:pPr>
      <w:r w:rsidRPr="00F4093A">
        <w:rPr>
          <w:rFonts w:ascii="Arial" w:hAnsi="Arial" w:cs="Arial"/>
        </w:rPr>
        <w:t xml:space="preserve">The purpose of this Policy is to </w:t>
      </w:r>
      <w:r w:rsidR="00186CD5">
        <w:rPr>
          <w:rFonts w:ascii="Arial" w:hAnsi="Arial" w:cs="Arial"/>
        </w:rPr>
        <w:t>set</w:t>
      </w:r>
      <w:r>
        <w:rPr>
          <w:rFonts w:ascii="Arial" w:hAnsi="Arial" w:cs="Arial"/>
        </w:rPr>
        <w:t xml:space="preserve"> the </w:t>
      </w:r>
      <w:r w:rsidR="00186CD5">
        <w:rPr>
          <w:rFonts w:ascii="Arial" w:hAnsi="Arial" w:cs="Arial"/>
        </w:rPr>
        <w:t xml:space="preserve">framework for </w:t>
      </w:r>
      <w:r>
        <w:rPr>
          <w:rFonts w:ascii="Arial" w:hAnsi="Arial" w:cs="Arial"/>
        </w:rPr>
        <w:t>matters that the City’s Officer</w:t>
      </w:r>
      <w:r w:rsidR="001C3D11">
        <w:rPr>
          <w:rFonts w:ascii="Arial" w:hAnsi="Arial" w:cs="Arial"/>
        </w:rPr>
        <w:t>s</w:t>
      </w:r>
      <w:r>
        <w:rPr>
          <w:rFonts w:ascii="Arial" w:hAnsi="Arial" w:cs="Arial"/>
        </w:rPr>
        <w:t xml:space="preserve"> will take into consideration when evaluating a proposal to close a Pedestrian Access Way (PAW). </w:t>
      </w:r>
    </w:p>
    <w:p w14:paraId="4200DB46" w14:textId="77777777" w:rsidR="00151611" w:rsidRDefault="00151611" w:rsidP="00151611">
      <w:pPr>
        <w:tabs>
          <w:tab w:val="left" w:pos="9026"/>
        </w:tabs>
        <w:spacing w:before="2"/>
        <w:ind w:right="-46"/>
        <w:rPr>
          <w:rFonts w:ascii="Arial" w:hAnsi="Arial" w:cs="Arial"/>
        </w:rPr>
      </w:pPr>
    </w:p>
    <w:p w14:paraId="35E8F3E8" w14:textId="77777777" w:rsidR="00A40FA5" w:rsidRPr="00F94F2C" w:rsidRDefault="00A40FA5" w:rsidP="00151611">
      <w:pPr>
        <w:tabs>
          <w:tab w:val="left" w:pos="9026"/>
        </w:tabs>
        <w:spacing w:before="2"/>
        <w:ind w:right="-46"/>
        <w:rPr>
          <w:rFonts w:ascii="Arial" w:hAnsi="Arial" w:cs="Arial"/>
        </w:rPr>
      </w:pPr>
    </w:p>
    <w:p w14:paraId="44E1DF33" w14:textId="77777777" w:rsidR="00656C9D" w:rsidRPr="00F94F2C" w:rsidRDefault="00656C9D"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94F2C">
          <w:rPr>
            <w:rStyle w:val="Hyperlink"/>
            <w:rFonts w:cs="Arial"/>
            <w:b/>
            <w:bCs/>
          </w:rPr>
          <w:t>Policy Statement</w:t>
        </w:r>
      </w:hyperlink>
    </w:p>
    <w:p w14:paraId="283C9227"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173F6329" wp14:editId="75CBD24A">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F3CD3B"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36BFA7DA" w14:textId="77777777" w:rsidR="00F4093A" w:rsidRPr="00B04DDD" w:rsidRDefault="00F4093A" w:rsidP="00A40FA5">
      <w:pPr>
        <w:pStyle w:val="ListParagraph"/>
        <w:numPr>
          <w:ilvl w:val="0"/>
          <w:numId w:val="10"/>
        </w:numPr>
        <w:ind w:hanging="720"/>
        <w:rPr>
          <w:rFonts w:ascii="Arial" w:hAnsi="Arial" w:cs="Arial"/>
        </w:rPr>
      </w:pPr>
      <w:bookmarkStart w:id="0" w:name="Bookmark2"/>
      <w:r w:rsidRPr="00B04DDD">
        <w:rPr>
          <w:rFonts w:ascii="Arial" w:hAnsi="Arial" w:cs="Arial"/>
        </w:rPr>
        <w:t xml:space="preserve">Pedestrian access ways (PAW’s) are a feature of many past residential subdivisions in the City of Cockburn (the City). PAW’s have an important role in providing access to community facilities and services and form an integral part of the pedestrian and cyclist movement system within residential areas. </w:t>
      </w:r>
    </w:p>
    <w:p w14:paraId="71972D2F" w14:textId="77777777" w:rsidR="00F4093A" w:rsidRPr="00F4093A" w:rsidRDefault="00F4093A" w:rsidP="00F4093A">
      <w:pPr>
        <w:ind w:right="162"/>
        <w:rPr>
          <w:rFonts w:ascii="Arial" w:hAnsi="Arial" w:cs="Arial"/>
        </w:rPr>
      </w:pPr>
    </w:p>
    <w:p w14:paraId="4FAD5FDB" w14:textId="77777777" w:rsidR="00F4093A" w:rsidRPr="00B04DDD" w:rsidRDefault="00F4093A" w:rsidP="00A40FA5">
      <w:pPr>
        <w:pStyle w:val="ListParagraph"/>
        <w:numPr>
          <w:ilvl w:val="0"/>
          <w:numId w:val="10"/>
        </w:numPr>
        <w:ind w:hanging="720"/>
        <w:rPr>
          <w:rFonts w:ascii="Arial" w:hAnsi="Arial" w:cs="Arial"/>
        </w:rPr>
      </w:pPr>
      <w:r w:rsidRPr="00B04DDD">
        <w:rPr>
          <w:rFonts w:ascii="Arial" w:hAnsi="Arial" w:cs="Arial"/>
        </w:rPr>
        <w:t xml:space="preserve">It is acknowledged however that in some cases PAW’s are perceived to have facilitated crime and antisocial behaviour. This often results in requests being made by residents living near or adjacent to a PAW for the PAW to be closed.  Most, if not all, PAW’s are used legitimately by the public, so </w:t>
      </w:r>
      <w:r w:rsidR="003D374F" w:rsidRPr="00B04DDD">
        <w:rPr>
          <w:rFonts w:ascii="Arial" w:hAnsi="Arial" w:cs="Arial"/>
        </w:rPr>
        <w:t>requests to close PAW’s create</w:t>
      </w:r>
      <w:r w:rsidRPr="00B04DDD">
        <w:rPr>
          <w:rFonts w:ascii="Arial" w:hAnsi="Arial" w:cs="Arial"/>
        </w:rPr>
        <w:t xml:space="preserve"> difficult </w:t>
      </w:r>
      <w:r w:rsidR="003D374F" w:rsidRPr="00B04DDD">
        <w:rPr>
          <w:rFonts w:ascii="Arial" w:hAnsi="Arial" w:cs="Arial"/>
        </w:rPr>
        <w:t>evaluation considerations</w:t>
      </w:r>
      <w:r w:rsidRPr="00B04DDD">
        <w:rPr>
          <w:rFonts w:ascii="Arial" w:hAnsi="Arial" w:cs="Arial"/>
        </w:rPr>
        <w:t xml:space="preserve"> between these two issues.</w:t>
      </w:r>
    </w:p>
    <w:p w14:paraId="49433118" w14:textId="77777777" w:rsidR="00F4093A" w:rsidRPr="00F4093A" w:rsidRDefault="00F4093A" w:rsidP="00F4093A">
      <w:pPr>
        <w:ind w:right="162"/>
        <w:rPr>
          <w:rFonts w:ascii="Arial" w:hAnsi="Arial" w:cs="Arial"/>
        </w:rPr>
      </w:pPr>
    </w:p>
    <w:p w14:paraId="31BF4C12" w14:textId="77777777" w:rsidR="00F4093A" w:rsidRPr="00B04DDD" w:rsidRDefault="00F4093A" w:rsidP="00A40FA5">
      <w:pPr>
        <w:pStyle w:val="ListParagraph"/>
        <w:numPr>
          <w:ilvl w:val="0"/>
          <w:numId w:val="10"/>
        </w:numPr>
        <w:ind w:hanging="720"/>
        <w:rPr>
          <w:rFonts w:ascii="Arial" w:hAnsi="Arial" w:cs="Arial"/>
        </w:rPr>
      </w:pPr>
      <w:r w:rsidRPr="00B04DDD">
        <w:rPr>
          <w:rFonts w:ascii="Arial" w:hAnsi="Arial" w:cs="Arial"/>
        </w:rPr>
        <w:t xml:space="preserve">Recent State Government initiatives, such as the Metropolitan Transport Strategy, Perth Bicycle Network Plan and Metropolitan Pedestrian Strategy, aim to reduce the use of the private car and promote the alternatives of public transport, cycling and walking. In terms of the structure of an urban area, Liveable Neighbourhoods Edition 4 also recognises that a walkable neighbourhood with a convenient and accessible movement network is essential if objectives of environmental sustainability are to be met. In view of the greater emphasis on walking and cycling in State Government policy, the City should ensure that efficient and effective pedestrian/cyclist movement systems will not be adversely affected by closing a PAW. </w:t>
      </w:r>
    </w:p>
    <w:p w14:paraId="12D62D07" w14:textId="77777777" w:rsidR="00F4093A" w:rsidRPr="00F4093A" w:rsidRDefault="00F4093A" w:rsidP="00F4093A">
      <w:pPr>
        <w:ind w:right="162"/>
        <w:rPr>
          <w:rFonts w:ascii="Arial" w:hAnsi="Arial" w:cs="Arial"/>
        </w:rPr>
      </w:pPr>
    </w:p>
    <w:p w14:paraId="3D8A1AE4" w14:textId="77777777" w:rsidR="00151611" w:rsidRPr="00B04DDD" w:rsidRDefault="00F4093A" w:rsidP="00A40FA5">
      <w:pPr>
        <w:pStyle w:val="ListParagraph"/>
        <w:numPr>
          <w:ilvl w:val="0"/>
          <w:numId w:val="10"/>
        </w:numPr>
        <w:ind w:hanging="720"/>
        <w:rPr>
          <w:rFonts w:ascii="Arial" w:hAnsi="Arial" w:cs="Arial"/>
        </w:rPr>
      </w:pPr>
      <w:r w:rsidRPr="00B04DDD">
        <w:rPr>
          <w:rFonts w:ascii="Arial" w:hAnsi="Arial" w:cs="Arial"/>
        </w:rPr>
        <w:t xml:space="preserve">Accordingly, in considering requests to close a PAW, the City must balance the concerns of residents living near a PAW against the wider community need for the PAW to provide safe pedestrian movement – especially for children and the elderly.  </w:t>
      </w:r>
    </w:p>
    <w:p w14:paraId="76368341" w14:textId="77777777" w:rsidR="00F4093A" w:rsidRPr="00F4093A" w:rsidRDefault="00F4093A" w:rsidP="00F4093A">
      <w:pPr>
        <w:tabs>
          <w:tab w:val="left" w:pos="9026"/>
        </w:tabs>
        <w:spacing w:before="2"/>
        <w:ind w:right="-46"/>
        <w:rPr>
          <w:rFonts w:ascii="Arial" w:hAnsi="Arial" w:cs="Arial"/>
        </w:rPr>
      </w:pPr>
    </w:p>
    <w:p w14:paraId="24563A11" w14:textId="77777777" w:rsidR="00F4093A" w:rsidRPr="00B04DDD" w:rsidRDefault="00F4093A" w:rsidP="00A40FA5">
      <w:pPr>
        <w:pStyle w:val="ListParagraph"/>
        <w:numPr>
          <w:ilvl w:val="0"/>
          <w:numId w:val="10"/>
        </w:numPr>
        <w:ind w:hanging="720"/>
        <w:rPr>
          <w:rFonts w:ascii="Arial" w:hAnsi="Arial" w:cs="Arial"/>
        </w:rPr>
      </w:pPr>
      <w:r w:rsidRPr="00B04DDD">
        <w:rPr>
          <w:rFonts w:ascii="Arial" w:hAnsi="Arial" w:cs="Arial"/>
        </w:rPr>
        <w:t xml:space="preserve">For this reason PAW closures should always be considered as an absolute last resort, and only where security upgrades (lighting, landscaping, </w:t>
      </w:r>
      <w:r w:rsidR="003D374F" w:rsidRPr="00B04DDD">
        <w:rPr>
          <w:rFonts w:ascii="Arial" w:hAnsi="Arial" w:cs="Arial"/>
        </w:rPr>
        <w:t>and fencing</w:t>
      </w:r>
      <w:r w:rsidRPr="00B04DDD">
        <w:rPr>
          <w:rFonts w:ascii="Arial" w:hAnsi="Arial" w:cs="Arial"/>
        </w:rPr>
        <w:t>) have been proven to be ineffective and where the PAW has been judged as a non-critical element of the pedestrian and cyclist movement network</w:t>
      </w:r>
      <w:r w:rsidR="003D374F" w:rsidRPr="00B04DDD">
        <w:rPr>
          <w:rFonts w:ascii="Arial" w:hAnsi="Arial" w:cs="Arial"/>
        </w:rPr>
        <w:t xml:space="preserve"> should a recommendation for closure proceed</w:t>
      </w:r>
      <w:r w:rsidRPr="00B04DDD">
        <w:rPr>
          <w:rFonts w:ascii="Arial" w:hAnsi="Arial" w:cs="Arial"/>
        </w:rPr>
        <w:t xml:space="preserve">.  </w:t>
      </w:r>
    </w:p>
    <w:p w14:paraId="1AFE75EB" w14:textId="77777777" w:rsidR="00492FD8" w:rsidRDefault="00492FD8" w:rsidP="00F4093A">
      <w:pPr>
        <w:rPr>
          <w:rFonts w:ascii="Arial" w:hAnsi="Arial" w:cs="Arial"/>
        </w:rPr>
      </w:pPr>
    </w:p>
    <w:p w14:paraId="2EFE86BF" w14:textId="77777777" w:rsidR="00492FD8" w:rsidRPr="00B04DDD" w:rsidRDefault="00565F19" w:rsidP="00A40FA5">
      <w:pPr>
        <w:pStyle w:val="ListParagraph"/>
        <w:numPr>
          <w:ilvl w:val="0"/>
          <w:numId w:val="10"/>
        </w:numPr>
        <w:ind w:hanging="720"/>
        <w:rPr>
          <w:rFonts w:ascii="Arial" w:hAnsi="Arial" w:cs="Arial"/>
        </w:rPr>
      </w:pPr>
      <w:r w:rsidRPr="00B04DDD">
        <w:rPr>
          <w:rFonts w:ascii="Arial" w:hAnsi="Arial" w:cs="Arial"/>
        </w:rPr>
        <w:t>Subject to</w:t>
      </w:r>
      <w:r w:rsidR="00B125EA" w:rsidRPr="00B04DDD">
        <w:rPr>
          <w:rFonts w:ascii="Arial" w:hAnsi="Arial" w:cs="Arial"/>
        </w:rPr>
        <w:t xml:space="preserve"> an</w:t>
      </w:r>
      <w:r w:rsidRPr="00B04DDD">
        <w:rPr>
          <w:rFonts w:ascii="Arial" w:hAnsi="Arial" w:cs="Arial"/>
        </w:rPr>
        <w:t xml:space="preserve"> initial assessment </w:t>
      </w:r>
      <w:r w:rsidR="00B125EA" w:rsidRPr="00B04DDD">
        <w:rPr>
          <w:rFonts w:ascii="Arial" w:hAnsi="Arial" w:cs="Arial"/>
        </w:rPr>
        <w:t xml:space="preserve">indicating that it is possible to progress to a full investigation </w:t>
      </w:r>
      <w:r w:rsidRPr="00B04DDD">
        <w:rPr>
          <w:rFonts w:ascii="Arial" w:hAnsi="Arial" w:cs="Arial"/>
        </w:rPr>
        <w:t>and the payment of the administration fee</w:t>
      </w:r>
      <w:r w:rsidR="001C3D11" w:rsidRPr="00B04DDD">
        <w:rPr>
          <w:rFonts w:ascii="Arial" w:hAnsi="Arial" w:cs="Arial"/>
        </w:rPr>
        <w:t>,</w:t>
      </w:r>
      <w:r w:rsidRPr="00B04DDD">
        <w:rPr>
          <w:rFonts w:ascii="Arial" w:hAnsi="Arial" w:cs="Arial"/>
        </w:rPr>
        <w:t xml:space="preserve"> t</w:t>
      </w:r>
      <w:r w:rsidR="001C3D11" w:rsidRPr="00B04DDD">
        <w:rPr>
          <w:rFonts w:ascii="Arial" w:hAnsi="Arial" w:cs="Arial"/>
        </w:rPr>
        <w:t>he City’s Officer</w:t>
      </w:r>
      <w:r w:rsidR="00492FD8" w:rsidRPr="00B04DDD">
        <w:rPr>
          <w:rFonts w:ascii="Arial" w:hAnsi="Arial" w:cs="Arial"/>
        </w:rPr>
        <w:t>s will undertake the process as detailed in the Procedure</w:t>
      </w:r>
      <w:r w:rsidR="003D374F" w:rsidRPr="00B04DDD">
        <w:rPr>
          <w:rFonts w:ascii="Arial" w:hAnsi="Arial" w:cs="Arial"/>
        </w:rPr>
        <w:t xml:space="preserve"> “P</w:t>
      </w:r>
      <w:r w:rsidRPr="00B04DDD">
        <w:rPr>
          <w:rFonts w:ascii="Arial" w:hAnsi="Arial" w:cs="Arial"/>
        </w:rPr>
        <w:t>edestrian Access Way</w:t>
      </w:r>
      <w:r w:rsidR="003D374F" w:rsidRPr="00B04DDD">
        <w:rPr>
          <w:rFonts w:ascii="Arial" w:hAnsi="Arial" w:cs="Arial"/>
        </w:rPr>
        <w:t xml:space="preserve"> Closures”</w:t>
      </w:r>
      <w:r w:rsidR="00B125EA" w:rsidRPr="00B04DDD">
        <w:rPr>
          <w:rFonts w:ascii="Arial" w:hAnsi="Arial" w:cs="Arial"/>
        </w:rPr>
        <w:t>.  A</w:t>
      </w:r>
      <w:r w:rsidR="00492FD8" w:rsidRPr="00B04DDD">
        <w:rPr>
          <w:rFonts w:ascii="Arial" w:hAnsi="Arial" w:cs="Arial"/>
        </w:rPr>
        <w:t>t the conclusion</w:t>
      </w:r>
      <w:r w:rsidR="00B125EA" w:rsidRPr="00B04DDD">
        <w:rPr>
          <w:rFonts w:ascii="Arial" w:hAnsi="Arial" w:cs="Arial"/>
        </w:rPr>
        <w:t xml:space="preserve"> of the investigation</w:t>
      </w:r>
      <w:r w:rsidR="00492FD8" w:rsidRPr="00B04DDD">
        <w:rPr>
          <w:rFonts w:ascii="Arial" w:hAnsi="Arial" w:cs="Arial"/>
        </w:rPr>
        <w:t xml:space="preserve"> a report will be presented to </w:t>
      </w:r>
      <w:r w:rsidR="00492FD8" w:rsidRPr="00B04DDD">
        <w:rPr>
          <w:rFonts w:ascii="Arial" w:hAnsi="Arial" w:cs="Arial"/>
        </w:rPr>
        <w:lastRenderedPageBreak/>
        <w:t>Council for their consideration</w:t>
      </w:r>
      <w:r w:rsidR="003D374F" w:rsidRPr="00B04DDD">
        <w:rPr>
          <w:rFonts w:ascii="Arial" w:hAnsi="Arial" w:cs="Arial"/>
        </w:rPr>
        <w:t xml:space="preserve">. </w:t>
      </w:r>
      <w:r w:rsidR="00492FD8" w:rsidRPr="00B04DDD">
        <w:rPr>
          <w:rFonts w:ascii="Arial" w:hAnsi="Arial" w:cs="Arial"/>
        </w:rPr>
        <w:t xml:space="preserve">The results of the assessment of the request to close the PAW undertaken </w:t>
      </w:r>
      <w:r w:rsidR="003D374F" w:rsidRPr="00B04DDD">
        <w:rPr>
          <w:rFonts w:ascii="Arial" w:hAnsi="Arial" w:cs="Arial"/>
        </w:rPr>
        <w:t>will include but not be limited to the following:</w:t>
      </w:r>
    </w:p>
    <w:p w14:paraId="75842713" w14:textId="77777777" w:rsidR="00492FD8" w:rsidRPr="00492FD8" w:rsidRDefault="00492FD8" w:rsidP="00492FD8">
      <w:pPr>
        <w:ind w:right="252"/>
        <w:rPr>
          <w:rFonts w:ascii="Arial" w:hAnsi="Arial" w:cs="Arial"/>
        </w:rPr>
      </w:pPr>
    </w:p>
    <w:p w14:paraId="69DBEE00" w14:textId="77777777" w:rsidR="00492FD8" w:rsidRPr="00492FD8" w:rsidRDefault="003D374F" w:rsidP="00492FD8">
      <w:pPr>
        <w:ind w:left="1440" w:right="252" w:hanging="645"/>
        <w:rPr>
          <w:rFonts w:ascii="Arial" w:hAnsi="Arial" w:cs="Arial"/>
        </w:rPr>
      </w:pPr>
      <w:r>
        <w:rPr>
          <w:rFonts w:ascii="Arial" w:hAnsi="Arial" w:cs="Arial"/>
        </w:rPr>
        <w:t>1</w:t>
      </w:r>
      <w:r w:rsidR="00492FD8" w:rsidRPr="00492FD8">
        <w:rPr>
          <w:rFonts w:ascii="Arial" w:hAnsi="Arial" w:cs="Arial"/>
        </w:rPr>
        <w:t>.</w:t>
      </w:r>
      <w:r w:rsidR="00492FD8" w:rsidRPr="00492FD8">
        <w:rPr>
          <w:rFonts w:ascii="Arial" w:hAnsi="Arial" w:cs="Arial"/>
        </w:rPr>
        <w:tab/>
        <w:t>The comments from servicing authorities, including the cost of moving services, if necessary, from the PAW;</w:t>
      </w:r>
    </w:p>
    <w:p w14:paraId="354657A2" w14:textId="77777777" w:rsidR="00492FD8" w:rsidRPr="00492FD8" w:rsidRDefault="00492FD8" w:rsidP="00492FD8">
      <w:pPr>
        <w:ind w:left="1440" w:right="252" w:hanging="645"/>
        <w:rPr>
          <w:rFonts w:ascii="Arial" w:hAnsi="Arial" w:cs="Arial"/>
        </w:rPr>
      </w:pPr>
    </w:p>
    <w:p w14:paraId="669CAF53" w14:textId="77777777" w:rsidR="00492FD8" w:rsidRPr="00492FD8" w:rsidRDefault="003D374F" w:rsidP="00492FD8">
      <w:pPr>
        <w:ind w:left="1440" w:right="252" w:hanging="645"/>
        <w:rPr>
          <w:rFonts w:ascii="Arial" w:hAnsi="Arial" w:cs="Arial"/>
        </w:rPr>
      </w:pPr>
      <w:r>
        <w:rPr>
          <w:rFonts w:ascii="Arial" w:hAnsi="Arial" w:cs="Arial"/>
        </w:rPr>
        <w:t>2</w:t>
      </w:r>
      <w:r w:rsidR="00492FD8" w:rsidRPr="00492FD8">
        <w:rPr>
          <w:rFonts w:ascii="Arial" w:hAnsi="Arial" w:cs="Arial"/>
        </w:rPr>
        <w:t>.</w:t>
      </w:r>
      <w:r w:rsidR="00492FD8" w:rsidRPr="00492FD8">
        <w:rPr>
          <w:rFonts w:ascii="Arial" w:hAnsi="Arial" w:cs="Arial"/>
        </w:rPr>
        <w:tab/>
        <w:t xml:space="preserve">The costs of works to provide a viable alternative access route or other remedies to ensure walkability is not adversely effected (e.g. relocation of a bus stop); </w:t>
      </w:r>
    </w:p>
    <w:p w14:paraId="23FEFC50" w14:textId="77777777" w:rsidR="00492FD8" w:rsidRPr="00492FD8" w:rsidRDefault="00492FD8" w:rsidP="00492FD8">
      <w:pPr>
        <w:ind w:left="1440" w:right="252" w:hanging="645"/>
        <w:rPr>
          <w:rFonts w:ascii="Arial" w:hAnsi="Arial" w:cs="Arial"/>
        </w:rPr>
      </w:pPr>
    </w:p>
    <w:p w14:paraId="082257E4" w14:textId="77777777" w:rsidR="00492FD8" w:rsidRDefault="003D374F" w:rsidP="00492FD8">
      <w:pPr>
        <w:ind w:left="1440" w:right="252" w:hanging="645"/>
        <w:rPr>
          <w:rFonts w:ascii="Arial" w:hAnsi="Arial" w:cs="Arial"/>
        </w:rPr>
      </w:pPr>
      <w:r>
        <w:rPr>
          <w:rFonts w:ascii="Arial" w:hAnsi="Arial" w:cs="Arial"/>
        </w:rPr>
        <w:t>3</w:t>
      </w:r>
      <w:r w:rsidR="00492FD8" w:rsidRPr="00492FD8">
        <w:rPr>
          <w:rFonts w:ascii="Arial" w:hAnsi="Arial" w:cs="Arial"/>
        </w:rPr>
        <w:t>.</w:t>
      </w:r>
      <w:r w:rsidR="00492FD8" w:rsidRPr="00492FD8">
        <w:rPr>
          <w:rFonts w:ascii="Arial" w:hAnsi="Arial" w:cs="Arial"/>
        </w:rPr>
        <w:tab/>
        <w:t>The number</w:t>
      </w:r>
      <w:r>
        <w:rPr>
          <w:rFonts w:ascii="Arial" w:hAnsi="Arial" w:cs="Arial"/>
        </w:rPr>
        <w:t xml:space="preserve"> and details</w:t>
      </w:r>
      <w:r w:rsidR="00492FD8" w:rsidRPr="00492FD8">
        <w:rPr>
          <w:rFonts w:ascii="Arial" w:hAnsi="Arial" w:cs="Arial"/>
        </w:rPr>
        <w:t xml:space="preserve"> of submissions for and against the closure; </w:t>
      </w:r>
    </w:p>
    <w:p w14:paraId="28927C9A" w14:textId="77777777" w:rsidR="003D374F" w:rsidRDefault="003D374F" w:rsidP="00492FD8">
      <w:pPr>
        <w:ind w:left="1440" w:right="252" w:hanging="645"/>
        <w:rPr>
          <w:rFonts w:ascii="Arial" w:hAnsi="Arial" w:cs="Arial"/>
        </w:rPr>
      </w:pPr>
    </w:p>
    <w:p w14:paraId="16C2F152" w14:textId="77777777" w:rsidR="003D374F" w:rsidRPr="00492FD8" w:rsidRDefault="003D374F" w:rsidP="003D374F">
      <w:pPr>
        <w:ind w:left="1418" w:right="252" w:hanging="623"/>
        <w:rPr>
          <w:rFonts w:ascii="Arial" w:hAnsi="Arial" w:cs="Arial"/>
        </w:rPr>
      </w:pPr>
      <w:r>
        <w:rPr>
          <w:rFonts w:ascii="Arial" w:hAnsi="Arial" w:cs="Arial"/>
        </w:rPr>
        <w:t>4.</w:t>
      </w:r>
      <w:r w:rsidRPr="003D374F">
        <w:rPr>
          <w:rFonts w:ascii="Arial" w:hAnsi="Arial" w:cs="Arial"/>
        </w:rPr>
        <w:t xml:space="preserve"> </w:t>
      </w:r>
      <w:r>
        <w:rPr>
          <w:rFonts w:ascii="Arial" w:hAnsi="Arial" w:cs="Arial"/>
        </w:rPr>
        <w:tab/>
        <w:t>The recommendations of the Department of Planning, Lands &amp; Heritage from both a land and statutory planning perspective</w:t>
      </w:r>
    </w:p>
    <w:p w14:paraId="4FB0944E" w14:textId="77777777" w:rsidR="00492FD8" w:rsidRPr="00492FD8" w:rsidRDefault="00492FD8" w:rsidP="00492FD8">
      <w:pPr>
        <w:ind w:left="1440" w:right="252" w:hanging="645"/>
        <w:rPr>
          <w:rFonts w:ascii="Arial" w:hAnsi="Arial" w:cs="Arial"/>
        </w:rPr>
      </w:pPr>
    </w:p>
    <w:p w14:paraId="4436530C" w14:textId="77777777" w:rsidR="00492FD8" w:rsidRDefault="003D374F" w:rsidP="00492FD8">
      <w:pPr>
        <w:ind w:left="1440" w:right="252" w:hanging="645"/>
        <w:rPr>
          <w:rFonts w:ascii="Arial" w:hAnsi="Arial" w:cs="Arial"/>
        </w:rPr>
      </w:pPr>
      <w:r>
        <w:rPr>
          <w:rFonts w:ascii="Arial" w:hAnsi="Arial" w:cs="Arial"/>
        </w:rPr>
        <w:t>5</w:t>
      </w:r>
      <w:r w:rsidR="00492FD8" w:rsidRPr="00492FD8">
        <w:rPr>
          <w:rFonts w:ascii="Arial" w:hAnsi="Arial" w:cs="Arial"/>
        </w:rPr>
        <w:t>.</w:t>
      </w:r>
      <w:r w:rsidR="00492FD8" w:rsidRPr="00492FD8">
        <w:rPr>
          <w:rFonts w:ascii="Arial" w:hAnsi="Arial" w:cs="Arial"/>
        </w:rPr>
        <w:tab/>
        <w:t xml:space="preserve">Alternative strategies including the possible review of the R-Coding of lots adjacent to a PAW to allow development of the rear portion of these lots with access from the PAW to </w:t>
      </w:r>
      <w:r>
        <w:rPr>
          <w:rFonts w:ascii="Arial" w:hAnsi="Arial" w:cs="Arial"/>
        </w:rPr>
        <w:t>increase usage and surveillance; and</w:t>
      </w:r>
    </w:p>
    <w:p w14:paraId="731CBD9C" w14:textId="77777777" w:rsidR="003D374F" w:rsidRDefault="003D374F" w:rsidP="00492FD8">
      <w:pPr>
        <w:ind w:left="1440" w:right="252" w:hanging="645"/>
        <w:rPr>
          <w:rFonts w:ascii="Arial" w:hAnsi="Arial" w:cs="Arial"/>
        </w:rPr>
      </w:pPr>
    </w:p>
    <w:p w14:paraId="30A30A1A" w14:textId="77777777" w:rsidR="00492FD8" w:rsidRPr="00492FD8" w:rsidRDefault="003D374F" w:rsidP="00492FD8">
      <w:pPr>
        <w:ind w:left="1440" w:right="252" w:hanging="645"/>
        <w:rPr>
          <w:rFonts w:ascii="Arial" w:hAnsi="Arial" w:cs="Arial"/>
        </w:rPr>
      </w:pPr>
      <w:r>
        <w:rPr>
          <w:rFonts w:ascii="Arial" w:hAnsi="Arial" w:cs="Arial"/>
        </w:rPr>
        <w:t>6</w:t>
      </w:r>
      <w:r w:rsidR="00492FD8" w:rsidRPr="00492FD8">
        <w:rPr>
          <w:rFonts w:ascii="Arial" w:hAnsi="Arial" w:cs="Arial"/>
        </w:rPr>
        <w:t>.</w:t>
      </w:r>
      <w:r w:rsidR="00492FD8" w:rsidRPr="00492FD8">
        <w:rPr>
          <w:rFonts w:ascii="Arial" w:hAnsi="Arial" w:cs="Arial"/>
        </w:rPr>
        <w:tab/>
      </w:r>
      <w:r>
        <w:rPr>
          <w:rFonts w:ascii="Arial" w:hAnsi="Arial" w:cs="Arial"/>
        </w:rPr>
        <w:t>Any a</w:t>
      </w:r>
      <w:r w:rsidR="00492FD8" w:rsidRPr="00492FD8">
        <w:rPr>
          <w:rFonts w:ascii="Arial" w:hAnsi="Arial" w:cs="Arial"/>
        </w:rPr>
        <w:t>lternative to closure being re</w:t>
      </w:r>
      <w:r w:rsidR="008F62CB">
        <w:rPr>
          <w:rFonts w:ascii="Arial" w:hAnsi="Arial" w:cs="Arial"/>
        </w:rPr>
        <w:t>-</w:t>
      </w:r>
      <w:r w:rsidR="00492FD8" w:rsidRPr="00492FD8">
        <w:rPr>
          <w:rFonts w:ascii="Arial" w:hAnsi="Arial" w:cs="Arial"/>
        </w:rPr>
        <w:t>vestment of PAW to public utilities reserve with barriers and gates in situations where infrastructure prevents permanent closure or situations where the demographic profile of the surrounding area is expected to change allowing a future review of the closure.</w:t>
      </w:r>
    </w:p>
    <w:p w14:paraId="79C747CE" w14:textId="77777777" w:rsidR="00492FD8" w:rsidRPr="00492FD8" w:rsidRDefault="00492FD8" w:rsidP="00F4093A">
      <w:pPr>
        <w:rPr>
          <w:rFonts w:ascii="Arial" w:hAnsi="Arial" w:cs="Arial"/>
        </w:rPr>
      </w:pPr>
    </w:p>
    <w:p w14:paraId="6D1AAB29" w14:textId="77777777" w:rsidR="00656C9D" w:rsidRPr="00721265" w:rsidRDefault="00656C9D" w:rsidP="00BA0F37">
      <w:pPr>
        <w:rPr>
          <w:rFonts w:ascii="Arial" w:hAnsi="Arial" w:cs="Arial"/>
          <w:b/>
          <w:color w:val="FFFFFF"/>
          <w:sz w:val="4"/>
          <w:szCs w:val="4"/>
        </w:rPr>
      </w:pPr>
    </w:p>
    <w:p w14:paraId="33253184"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bookmarkEnd w:id="0"/>
    </w:p>
    <w:p w14:paraId="34E964E7" w14:textId="77777777"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5F42A2E0"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tcPr>
          <w:bookmarkStart w:id="2" w:name="Dropdown1"/>
          <w:bookmarkEnd w:id="1"/>
          <w:p w14:paraId="78D0C47C"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vAlign w:val="center"/>
          </w:tcPr>
          <w:p w14:paraId="7C0ECFB1" w14:textId="77777777" w:rsidR="00122F79" w:rsidRPr="00F94F2C" w:rsidRDefault="001C3D11" w:rsidP="0016654E">
            <w:pPr>
              <w:rPr>
                <w:rFonts w:ascii="Arial" w:hAnsi="Arial" w:cs="Arial"/>
              </w:rPr>
            </w:pPr>
            <w:r>
              <w:rPr>
                <w:rFonts w:ascii="Arial" w:hAnsi="Arial" w:cs="Arial"/>
              </w:rPr>
              <w:t>Land Management Strategy</w:t>
            </w:r>
          </w:p>
        </w:tc>
      </w:tr>
      <w:tr w:rsidR="000E59C0" w:rsidRPr="00F94F2C" w14:paraId="4EFA6FC6"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1A6F42AB" w14:textId="77777777" w:rsidR="00122F79" w:rsidRPr="00F94F2C" w:rsidRDefault="002C51C6"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Pr="00F94F2C">
                <w:rPr>
                  <w:rStyle w:val="Hyperlink"/>
                  <w:rFonts w:cs="Arial"/>
                </w:rPr>
                <w:t>Category</w:t>
              </w:r>
            </w:hyperlink>
          </w:p>
        </w:tc>
        <w:tc>
          <w:tcPr>
            <w:tcW w:w="6177" w:type="dxa"/>
            <w:vAlign w:val="center"/>
          </w:tcPr>
          <w:p w14:paraId="395D650D" w14:textId="6B084318" w:rsidR="00122F79" w:rsidRPr="00F94F2C" w:rsidRDefault="00173398" w:rsidP="00B04DDD">
            <w:pPr>
              <w:rPr>
                <w:rFonts w:ascii="Arial" w:hAnsi="Arial" w:cs="Arial"/>
              </w:rPr>
            </w:pPr>
            <w:r>
              <w:rPr>
                <w:rFonts w:ascii="Arial" w:hAnsi="Arial" w:cs="Arial"/>
              </w:rPr>
              <w:t>Property Services</w:t>
            </w:r>
          </w:p>
        </w:tc>
      </w:tr>
      <w:tr w:rsidR="000E59C0" w:rsidRPr="00F94F2C" w14:paraId="72008A2D"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789EE6C7" w14:textId="77777777" w:rsidR="00122F79" w:rsidRPr="00F94F2C" w:rsidRDefault="00BA0F37"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Pr="00F94F2C">
                <w:rPr>
                  <w:rStyle w:val="Hyperlink"/>
                  <w:rFonts w:cs="Arial"/>
                </w:rPr>
                <w:t>Lead Business Unit</w:t>
              </w:r>
            </w:hyperlink>
            <w:r w:rsidR="00F94F2C">
              <w:rPr>
                <w:rStyle w:val="Hyperlink"/>
                <w:rFonts w:cs="Arial"/>
              </w:rPr>
              <w:t>:</w:t>
            </w:r>
          </w:p>
        </w:tc>
        <w:tc>
          <w:tcPr>
            <w:tcW w:w="6177" w:type="dxa"/>
            <w:vAlign w:val="center"/>
          </w:tcPr>
          <w:p w14:paraId="0308570F" w14:textId="3F0CFFAB" w:rsidR="00122F79" w:rsidRPr="00F94F2C" w:rsidRDefault="00170E40" w:rsidP="00A40FA5">
            <w:pPr>
              <w:rPr>
                <w:rFonts w:ascii="Arial" w:hAnsi="Arial" w:cs="Arial"/>
              </w:rPr>
            </w:pPr>
            <w:r>
              <w:rPr>
                <w:rFonts w:ascii="Arial" w:hAnsi="Arial" w:cs="Arial"/>
              </w:rPr>
              <w:t>Property &amp; Assets</w:t>
            </w:r>
          </w:p>
        </w:tc>
      </w:tr>
      <w:tr w:rsidR="000E59C0" w:rsidRPr="00F94F2C" w14:paraId="394FDE10"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19C1D53E" w14:textId="77777777" w:rsidR="00F94F2C" w:rsidRDefault="00BA0F37"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Pr="00F94F2C">
                <w:rPr>
                  <w:rStyle w:val="Hyperlink"/>
                  <w:rFonts w:cs="Arial"/>
                </w:rPr>
                <w:t>Public Consultation</w:t>
              </w:r>
            </w:hyperlink>
            <w:r w:rsidR="00F94F2C">
              <w:rPr>
                <w:rStyle w:val="Hyperlink"/>
                <w:rFonts w:cs="Arial"/>
              </w:rPr>
              <w:t>:</w:t>
            </w:r>
          </w:p>
          <w:p w14:paraId="3C1E5D80"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vAlign w:val="center"/>
          </w:tcPr>
          <w:p w14:paraId="73F5D741" w14:textId="77777777" w:rsidR="00122F79" w:rsidRPr="00F94F2C" w:rsidRDefault="00B04DDD" w:rsidP="00BA0F37">
            <w:pPr>
              <w:rPr>
                <w:rFonts w:ascii="Arial" w:hAnsi="Arial" w:cs="Arial"/>
              </w:rPr>
            </w:pPr>
            <w:r>
              <w:rPr>
                <w:rFonts w:ascii="Arial" w:hAnsi="Arial" w:cs="Arial"/>
              </w:rPr>
              <w:t>No</w:t>
            </w:r>
          </w:p>
        </w:tc>
      </w:tr>
      <w:tr w:rsidR="000E59C0" w:rsidRPr="00F94F2C" w14:paraId="78A79C5B"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4806D29F" w14:textId="77777777" w:rsidR="00F94F2C" w:rsidRDefault="00BA0F37"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Pr="00F94F2C">
                <w:rPr>
                  <w:rStyle w:val="Hyperlink"/>
                  <w:rFonts w:cs="Arial"/>
                </w:rPr>
                <w:t>Adoption Date</w:t>
              </w:r>
            </w:hyperlink>
            <w:r w:rsidR="00F94F2C">
              <w:rPr>
                <w:rStyle w:val="Hyperlink"/>
                <w:rFonts w:cs="Arial"/>
              </w:rPr>
              <w:t>:</w:t>
            </w:r>
          </w:p>
          <w:p w14:paraId="48CAEA30"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vAlign w:val="center"/>
          </w:tcPr>
          <w:p w14:paraId="2B8717C5" w14:textId="54296767" w:rsidR="00122F79" w:rsidRPr="00F94F2C" w:rsidRDefault="00350306" w:rsidP="00BA0F37">
            <w:pPr>
              <w:rPr>
                <w:rFonts w:ascii="Arial" w:hAnsi="Arial" w:cs="Arial"/>
              </w:rPr>
            </w:pPr>
            <w:r>
              <w:rPr>
                <w:rFonts w:ascii="Arial" w:hAnsi="Arial" w:cs="Arial"/>
              </w:rPr>
              <w:t>12 May 2026</w:t>
            </w:r>
          </w:p>
        </w:tc>
      </w:tr>
      <w:tr w:rsidR="000E59C0" w:rsidRPr="00F94F2C" w14:paraId="6A986486"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51264D50" w14:textId="77777777" w:rsidR="00F94F2C" w:rsidRDefault="00BA0F37"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Pr="00F94F2C">
                <w:rPr>
                  <w:rStyle w:val="Hyperlink"/>
                  <w:rFonts w:cs="Arial"/>
                </w:rPr>
                <w:t>Next Review Due</w:t>
              </w:r>
            </w:hyperlink>
            <w:r w:rsidR="00F94F2C">
              <w:rPr>
                <w:rStyle w:val="Hyperlink"/>
                <w:rFonts w:cs="Arial"/>
              </w:rPr>
              <w:t>:</w:t>
            </w:r>
          </w:p>
          <w:p w14:paraId="4570D273"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vAlign w:val="center"/>
          </w:tcPr>
          <w:p w14:paraId="14465E32" w14:textId="5BB27BD6" w:rsidR="00122F79" w:rsidRPr="00F94F2C" w:rsidRDefault="00350306" w:rsidP="00BA0F37">
            <w:pPr>
              <w:rPr>
                <w:rFonts w:ascii="Arial" w:hAnsi="Arial" w:cs="Arial"/>
              </w:rPr>
            </w:pPr>
            <w:r>
              <w:rPr>
                <w:rFonts w:ascii="Arial" w:hAnsi="Arial" w:cs="Arial"/>
              </w:rPr>
              <w:t>May 2028</w:t>
            </w:r>
          </w:p>
        </w:tc>
      </w:tr>
      <w:tr w:rsidR="000E59C0" w:rsidRPr="00F94F2C" w14:paraId="0C8A6AEE"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tcPr>
          <w:p w14:paraId="73556A01" w14:textId="77777777" w:rsidR="00F94F2C" w:rsidRDefault="007B053D" w:rsidP="007B053D">
            <w:pPr>
              <w:spacing w:line="262" w:lineRule="exact"/>
              <w:ind w:left="105"/>
              <w:rPr>
                <w:rFonts w:ascii="Arial" w:hAnsi="Arial" w:cs="Arial"/>
                <w:color w:val="808080"/>
              </w:rPr>
            </w:pPr>
            <w:hyperlink w:anchor="Bookmark3" w:tooltip="ECM Doc Set ID: this refers Doc Set ID in ECM" w:history="1">
              <w:r w:rsidRPr="00F94F2C">
                <w:rPr>
                  <w:rStyle w:val="Hyperlink"/>
                  <w:rFonts w:cs="Arial"/>
                </w:rPr>
                <w:t>ECM Doc Set ID</w:t>
              </w:r>
            </w:hyperlink>
            <w:r w:rsidR="00F94F2C">
              <w:rPr>
                <w:rStyle w:val="Hyperlink"/>
                <w:rFonts w:cs="Arial"/>
              </w:rPr>
              <w:t>:</w:t>
            </w:r>
          </w:p>
          <w:p w14:paraId="2ED095D6"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vAlign w:val="center"/>
          </w:tcPr>
          <w:p w14:paraId="1310F4C2" w14:textId="77777777" w:rsidR="00122F79" w:rsidRPr="00F94F2C" w:rsidRDefault="00070E90" w:rsidP="00BA0F37">
            <w:pPr>
              <w:rPr>
                <w:rFonts w:ascii="Arial" w:hAnsi="Arial" w:cs="Arial"/>
              </w:rPr>
            </w:pPr>
            <w:r>
              <w:rPr>
                <w:rFonts w:ascii="Arial" w:hAnsi="Arial" w:cs="Arial"/>
              </w:rPr>
              <w:t>4132883</w:t>
            </w:r>
          </w:p>
        </w:tc>
      </w:tr>
    </w:tbl>
    <w:p w14:paraId="3534E5A2" w14:textId="77777777" w:rsidR="00721265" w:rsidRPr="008816A0" w:rsidRDefault="00721265" w:rsidP="00F94F2C"/>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7E1E" w14:textId="77777777" w:rsidR="00314048" w:rsidRDefault="00314048">
      <w:r>
        <w:separator/>
      </w:r>
    </w:p>
  </w:endnote>
  <w:endnote w:type="continuationSeparator" w:id="0">
    <w:p w14:paraId="63B1EB59" w14:textId="77777777" w:rsidR="00314048" w:rsidRDefault="0031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61311A06"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A276F4">
          <w:rPr>
            <w:rFonts w:ascii="Arial" w:hAnsi="Arial" w:cs="Arial"/>
            <w:noProof/>
          </w:rPr>
          <w:t>2</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2828" w14:textId="77777777" w:rsidR="00314048" w:rsidRDefault="00314048">
      <w:r>
        <w:separator/>
      </w:r>
    </w:p>
  </w:footnote>
  <w:footnote w:type="continuationSeparator" w:id="0">
    <w:p w14:paraId="7E4FFFE2" w14:textId="77777777" w:rsidR="00314048" w:rsidRDefault="00314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1776FF99" w14:textId="77777777" w:rsidTr="00623C8C">
      <w:trPr>
        <w:trHeight w:val="340"/>
        <w:tblCellSpacing w:w="20" w:type="dxa"/>
      </w:trPr>
      <w:tc>
        <w:tcPr>
          <w:tcW w:w="2088" w:type="dxa"/>
          <w:vAlign w:val="center"/>
        </w:tcPr>
        <w:p w14:paraId="3DA9FAD7" w14:textId="77777777" w:rsidR="00623C8C" w:rsidRPr="00F94F2C" w:rsidRDefault="00623C8C" w:rsidP="00623C8C">
          <w:r w:rsidRPr="00F94F2C">
            <w:rPr>
              <w:rFonts w:ascii="Arial" w:hAnsi="Arial" w:cs="Arial"/>
              <w:b/>
            </w:rPr>
            <w:t>Title</w:t>
          </w:r>
        </w:p>
      </w:tc>
      <w:tc>
        <w:tcPr>
          <w:tcW w:w="5386" w:type="dxa"/>
          <w:vAlign w:val="center"/>
        </w:tcPr>
        <w:p w14:paraId="3D08D8EE" w14:textId="77777777" w:rsidR="00623C8C" w:rsidRPr="00F94F2C" w:rsidRDefault="009A0A01" w:rsidP="00A40FA5">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7216" behindDoc="0" locked="0" layoutInCell="1" allowOverlap="1" wp14:anchorId="3B024290" wp14:editId="60C05B69">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40FA5">
            <w:rPr>
              <w:rFonts w:ascii="Arial Bold" w:hAnsi="Arial Bold" w:cs="Arial"/>
              <w:b/>
            </w:rPr>
            <w:t>Pedestrian Accessway Closures</w:t>
          </w:r>
        </w:p>
      </w:tc>
    </w:tr>
  </w:tbl>
  <w:p w14:paraId="4B3861F4"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C1C7446"/>
    <w:multiLevelType w:val="hybridMultilevel"/>
    <w:tmpl w:val="F69A0DBE"/>
    <w:lvl w:ilvl="0" w:tplc="C46E4524">
      <w:start w:val="1"/>
      <w:numFmt w:val="decimal"/>
      <w:lvlText w:val="%1."/>
      <w:lvlJc w:val="left"/>
      <w:pPr>
        <w:ind w:left="1155" w:hanging="360"/>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4"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FDD3250"/>
    <w:multiLevelType w:val="hybridMultilevel"/>
    <w:tmpl w:val="B6FED910"/>
    <w:lvl w:ilvl="0" w:tplc="584E12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7"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1897161896">
    <w:abstractNumId w:val="6"/>
  </w:num>
  <w:num w:numId="2" w16cid:durableId="1423721334">
    <w:abstractNumId w:val="2"/>
  </w:num>
  <w:num w:numId="3" w16cid:durableId="1121918097">
    <w:abstractNumId w:val="1"/>
  </w:num>
  <w:num w:numId="4" w16cid:durableId="605356453">
    <w:abstractNumId w:val="7"/>
  </w:num>
  <w:num w:numId="5" w16cid:durableId="1964074095">
    <w:abstractNumId w:val="4"/>
  </w:num>
  <w:num w:numId="6" w16cid:durableId="2137723486">
    <w:abstractNumId w:val="8"/>
  </w:num>
  <w:num w:numId="7" w16cid:durableId="726417430">
    <w:abstractNumId w:val="9"/>
  </w:num>
  <w:num w:numId="8" w16cid:durableId="1631133251">
    <w:abstractNumId w:val="0"/>
  </w:num>
  <w:num w:numId="9" w16cid:durableId="57829919">
    <w:abstractNumId w:val="3"/>
  </w:num>
  <w:num w:numId="10" w16cid:durableId="548419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832"/>
    <w:rsid w:val="00017BC9"/>
    <w:rsid w:val="000226A8"/>
    <w:rsid w:val="00023FB9"/>
    <w:rsid w:val="00050F8B"/>
    <w:rsid w:val="00052969"/>
    <w:rsid w:val="0005413B"/>
    <w:rsid w:val="00055B3A"/>
    <w:rsid w:val="0006383C"/>
    <w:rsid w:val="00070E90"/>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3BEB"/>
    <w:rsid w:val="000E59C0"/>
    <w:rsid w:val="000F29F7"/>
    <w:rsid w:val="000F5278"/>
    <w:rsid w:val="00103203"/>
    <w:rsid w:val="00116A63"/>
    <w:rsid w:val="00122F79"/>
    <w:rsid w:val="00123731"/>
    <w:rsid w:val="00133F68"/>
    <w:rsid w:val="00140FC9"/>
    <w:rsid w:val="00151611"/>
    <w:rsid w:val="0016013C"/>
    <w:rsid w:val="0016654E"/>
    <w:rsid w:val="00166692"/>
    <w:rsid w:val="00167FA1"/>
    <w:rsid w:val="00170E40"/>
    <w:rsid w:val="00170EF8"/>
    <w:rsid w:val="00173398"/>
    <w:rsid w:val="001857FE"/>
    <w:rsid w:val="00186387"/>
    <w:rsid w:val="00186CD5"/>
    <w:rsid w:val="001930F4"/>
    <w:rsid w:val="00195107"/>
    <w:rsid w:val="001A067B"/>
    <w:rsid w:val="001B366F"/>
    <w:rsid w:val="001C0E71"/>
    <w:rsid w:val="001C34A2"/>
    <w:rsid w:val="001C3D11"/>
    <w:rsid w:val="001C4ABB"/>
    <w:rsid w:val="001D08BD"/>
    <w:rsid w:val="001D36B6"/>
    <w:rsid w:val="001E0AE9"/>
    <w:rsid w:val="001E3ACA"/>
    <w:rsid w:val="001F2365"/>
    <w:rsid w:val="0020753E"/>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14048"/>
    <w:rsid w:val="003207CC"/>
    <w:rsid w:val="0032191D"/>
    <w:rsid w:val="003226D2"/>
    <w:rsid w:val="00326A3C"/>
    <w:rsid w:val="00346FF8"/>
    <w:rsid w:val="00347EFF"/>
    <w:rsid w:val="00350306"/>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374F"/>
    <w:rsid w:val="003D45D8"/>
    <w:rsid w:val="003D4DA6"/>
    <w:rsid w:val="003D7F20"/>
    <w:rsid w:val="003E60BC"/>
    <w:rsid w:val="003F7ABB"/>
    <w:rsid w:val="00406C52"/>
    <w:rsid w:val="00413583"/>
    <w:rsid w:val="004161B1"/>
    <w:rsid w:val="00416F7D"/>
    <w:rsid w:val="00430A6F"/>
    <w:rsid w:val="00430BCE"/>
    <w:rsid w:val="00431825"/>
    <w:rsid w:val="004402BD"/>
    <w:rsid w:val="00440902"/>
    <w:rsid w:val="00445781"/>
    <w:rsid w:val="0045580F"/>
    <w:rsid w:val="00464623"/>
    <w:rsid w:val="0047440F"/>
    <w:rsid w:val="004826C8"/>
    <w:rsid w:val="00482B85"/>
    <w:rsid w:val="00492FD8"/>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5F19"/>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634F"/>
    <w:rsid w:val="007166EF"/>
    <w:rsid w:val="00717FB2"/>
    <w:rsid w:val="00721265"/>
    <w:rsid w:val="00746471"/>
    <w:rsid w:val="00750725"/>
    <w:rsid w:val="00754B55"/>
    <w:rsid w:val="00755DED"/>
    <w:rsid w:val="007637E4"/>
    <w:rsid w:val="00772BAA"/>
    <w:rsid w:val="00773928"/>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8F62CB"/>
    <w:rsid w:val="009001CF"/>
    <w:rsid w:val="00903E7F"/>
    <w:rsid w:val="00905A5B"/>
    <w:rsid w:val="00910CB5"/>
    <w:rsid w:val="00911AA3"/>
    <w:rsid w:val="009123B9"/>
    <w:rsid w:val="0093222B"/>
    <w:rsid w:val="00934339"/>
    <w:rsid w:val="00943C72"/>
    <w:rsid w:val="00963832"/>
    <w:rsid w:val="00974D13"/>
    <w:rsid w:val="00975604"/>
    <w:rsid w:val="00976124"/>
    <w:rsid w:val="00981F38"/>
    <w:rsid w:val="009A0A01"/>
    <w:rsid w:val="009A0FB1"/>
    <w:rsid w:val="009B3F72"/>
    <w:rsid w:val="009B5837"/>
    <w:rsid w:val="009E25EF"/>
    <w:rsid w:val="009E4B91"/>
    <w:rsid w:val="009E5977"/>
    <w:rsid w:val="00A016E1"/>
    <w:rsid w:val="00A132C6"/>
    <w:rsid w:val="00A13A64"/>
    <w:rsid w:val="00A276F4"/>
    <w:rsid w:val="00A34E8C"/>
    <w:rsid w:val="00A375C7"/>
    <w:rsid w:val="00A4031A"/>
    <w:rsid w:val="00A40FA5"/>
    <w:rsid w:val="00A4400E"/>
    <w:rsid w:val="00A44E27"/>
    <w:rsid w:val="00A84CD3"/>
    <w:rsid w:val="00A9008C"/>
    <w:rsid w:val="00AA3E86"/>
    <w:rsid w:val="00AB1A42"/>
    <w:rsid w:val="00AB5559"/>
    <w:rsid w:val="00AC04AD"/>
    <w:rsid w:val="00AD2332"/>
    <w:rsid w:val="00AD2E46"/>
    <w:rsid w:val="00AD2E8B"/>
    <w:rsid w:val="00AE2B7A"/>
    <w:rsid w:val="00AE6B12"/>
    <w:rsid w:val="00B02BB0"/>
    <w:rsid w:val="00B04DDD"/>
    <w:rsid w:val="00B125EA"/>
    <w:rsid w:val="00B12E2C"/>
    <w:rsid w:val="00B14CD3"/>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5D80"/>
    <w:rsid w:val="00C51328"/>
    <w:rsid w:val="00C67FAD"/>
    <w:rsid w:val="00C723E2"/>
    <w:rsid w:val="00C75BE0"/>
    <w:rsid w:val="00C837E5"/>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F6619"/>
    <w:rsid w:val="00F067F9"/>
    <w:rsid w:val="00F06F73"/>
    <w:rsid w:val="00F073E8"/>
    <w:rsid w:val="00F10236"/>
    <w:rsid w:val="00F31FEA"/>
    <w:rsid w:val="00F3799C"/>
    <w:rsid w:val="00F4093A"/>
    <w:rsid w:val="00F43819"/>
    <w:rsid w:val="00F51BB0"/>
    <w:rsid w:val="00F60BE1"/>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21CD16"/>
  <w15:docId w15:val="{BD890DD7-E017-4B55-AF50-18567B3F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AppData\Local\Microsoft\Windows\Temporary%20Internet%20Files\Content.IE5\EEWH30YG\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EEA54-A390-4BA6-9CD2-403BF0B21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50</TotalTime>
  <Pages>2</Pages>
  <Words>928</Words>
  <Characters>4957</Characters>
  <Application>Microsoft Office Word</Application>
  <DocSecurity>0</DocSecurity>
  <Lines>141</Lines>
  <Paragraphs>63</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5822</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Lee Gatt</dc:creator>
  <cp:lastModifiedBy>Anneliese Schutz</cp:lastModifiedBy>
  <cp:revision>13</cp:revision>
  <cp:lastPrinted>2020-12-16T04:00:00Z</cp:lastPrinted>
  <dcterms:created xsi:type="dcterms:W3CDTF">2019-01-08T02:05:00Z</dcterms:created>
  <dcterms:modified xsi:type="dcterms:W3CDTF">2026-05-14T06:26:00Z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