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DF41718" w:rsidR="00ED6365" w:rsidRDefault="005579CA" w:rsidP="00ED6365">
      <w:pPr>
        <w:pStyle w:val="NoSpacing"/>
      </w:pPr>
      <w:r>
        <w:t>1</w:t>
      </w:r>
      <w:r w:rsidR="00770996">
        <w:t>5 November</w:t>
      </w:r>
      <w:r w:rsidR="007D026F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088464C" w14:textId="5425F64B" w:rsidR="00590486" w:rsidRDefault="00770996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Cockburn’s Renewable Energy Program highly commended at national local government award </w:t>
      </w:r>
    </w:p>
    <w:p w14:paraId="5D3F7E85" w14:textId="77777777" w:rsidR="005579CA" w:rsidRDefault="005579CA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B3A219C" w14:textId="77777777" w:rsidR="00770996" w:rsidRDefault="00770996" w:rsidP="00770996">
      <w:pPr>
        <w:rPr>
          <w:rFonts w:ascii="Arial" w:hAnsi="Arial" w:cs="Arial"/>
        </w:rPr>
      </w:pPr>
      <w:r w:rsidRPr="00B9652B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points:</w:t>
      </w:r>
    </w:p>
    <w:p w14:paraId="40282E72" w14:textId="77777777" w:rsidR="00770996" w:rsidRPr="006972F4" w:rsidRDefault="00770996" w:rsidP="00770996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6972F4">
        <w:rPr>
          <w:rFonts w:ascii="Arial" w:hAnsi="Arial" w:cs="Arial"/>
        </w:rPr>
        <w:t>City’s Renewable Energy Program highly commended in the 2022 Local Government Professionals Australia Awards for Excellence </w:t>
      </w:r>
    </w:p>
    <w:p w14:paraId="608A9DE9" w14:textId="77777777" w:rsidR="00770996" w:rsidRPr="00B9652B" w:rsidRDefault="00770996" w:rsidP="00770996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The program, established more than 20 years ago, </w:t>
      </w:r>
      <w:r w:rsidRPr="001E100B">
        <w:rPr>
          <w:rFonts w:ascii="Arial" w:hAnsi="Arial" w:cs="Arial"/>
        </w:rPr>
        <w:t>reduces carbon emission</w:t>
      </w:r>
      <w:r>
        <w:rPr>
          <w:rFonts w:ascii="Arial" w:hAnsi="Arial" w:cs="Arial"/>
        </w:rPr>
        <w:t>s</w:t>
      </w:r>
      <w:r w:rsidRPr="001E100B">
        <w:rPr>
          <w:rFonts w:ascii="Arial" w:hAnsi="Arial" w:cs="Arial"/>
        </w:rPr>
        <w:t xml:space="preserve"> by 73,000 </w:t>
      </w:r>
      <w:proofErr w:type="spellStart"/>
      <w:r w:rsidRPr="001E100B">
        <w:rPr>
          <w:rFonts w:ascii="Arial" w:hAnsi="Arial" w:cs="Arial"/>
        </w:rPr>
        <w:t>tonnes</w:t>
      </w:r>
      <w:proofErr w:type="spellEnd"/>
      <w:r w:rsidRPr="001E100B">
        <w:rPr>
          <w:rFonts w:ascii="Arial" w:hAnsi="Arial" w:cs="Arial"/>
        </w:rPr>
        <w:t xml:space="preserve"> annually</w:t>
      </w:r>
      <w:r>
        <w:rPr>
          <w:rFonts w:ascii="Arial" w:hAnsi="Arial" w:cs="Arial"/>
        </w:rPr>
        <w:t>.</w:t>
      </w:r>
    </w:p>
    <w:p w14:paraId="40D8CCF6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The City of Cockburn’s Renewable Energy </w:t>
      </w:r>
      <w:r>
        <w:rPr>
          <w:rFonts w:ascii="Arial" w:hAnsi="Arial" w:cs="Arial"/>
        </w:rPr>
        <w:t>Program</w:t>
      </w:r>
      <w:r w:rsidRPr="001E100B">
        <w:rPr>
          <w:rFonts w:ascii="Arial" w:hAnsi="Arial" w:cs="Arial"/>
        </w:rPr>
        <w:t xml:space="preserve"> which reduces carbon emission</w:t>
      </w:r>
      <w:r>
        <w:rPr>
          <w:rFonts w:ascii="Arial" w:hAnsi="Arial" w:cs="Arial"/>
        </w:rPr>
        <w:t>s</w:t>
      </w:r>
      <w:r w:rsidRPr="001E100B">
        <w:rPr>
          <w:rFonts w:ascii="Arial" w:hAnsi="Arial" w:cs="Arial"/>
        </w:rPr>
        <w:t xml:space="preserve"> by 73,000 </w:t>
      </w:r>
      <w:proofErr w:type="spellStart"/>
      <w:r w:rsidRPr="001E100B">
        <w:rPr>
          <w:rFonts w:ascii="Arial" w:hAnsi="Arial" w:cs="Arial"/>
        </w:rPr>
        <w:t>tonnes</w:t>
      </w:r>
      <w:proofErr w:type="spellEnd"/>
      <w:r w:rsidRPr="001E100B">
        <w:rPr>
          <w:rFonts w:ascii="Arial" w:hAnsi="Arial" w:cs="Arial"/>
        </w:rPr>
        <w:t xml:space="preserve"> annually, has been highly commended in the 2022 Local Government </w:t>
      </w:r>
      <w:r>
        <w:rPr>
          <w:rFonts w:ascii="Arial" w:hAnsi="Arial" w:cs="Arial"/>
        </w:rPr>
        <w:t xml:space="preserve">Professionals Australia </w:t>
      </w:r>
      <w:r w:rsidRPr="001E100B">
        <w:rPr>
          <w:rFonts w:ascii="Arial" w:hAnsi="Arial" w:cs="Arial"/>
        </w:rPr>
        <w:t>Awards for Excellence. </w:t>
      </w:r>
    </w:p>
    <w:p w14:paraId="583BC09F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The </w:t>
      </w:r>
      <w:proofErr w:type="gramStart"/>
      <w:r w:rsidRPr="001E100B"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program</w:t>
      </w:r>
      <w:r w:rsidRPr="001E100B">
        <w:rPr>
          <w:rFonts w:ascii="Arial" w:hAnsi="Arial" w:cs="Arial"/>
        </w:rPr>
        <w:t xml:space="preserve"> was highly commended in the </w:t>
      </w:r>
      <w:r>
        <w:rPr>
          <w:rFonts w:ascii="Arial" w:hAnsi="Arial" w:cs="Arial"/>
        </w:rPr>
        <w:t xml:space="preserve">national </w:t>
      </w:r>
      <w:r w:rsidRPr="001E100B">
        <w:rPr>
          <w:rFonts w:ascii="Arial" w:hAnsi="Arial" w:cs="Arial"/>
        </w:rPr>
        <w:t>awards’ Environmental Leadership and Sustainability category, alongside Brisbane’s Logan City Council. The category winner was Melbourne’s Darebin City Council.</w:t>
      </w:r>
    </w:p>
    <w:p w14:paraId="07598A01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>City of Cockburn Head of Sustainability and Environment Chris Beaton said the recognition was a positive reflection of the City’s commendable actions to reduce carbon emissions in a national local government context.</w:t>
      </w:r>
    </w:p>
    <w:p w14:paraId="110FED9B" w14:textId="77777777" w:rsidR="00770996" w:rsidRPr="001E100B" w:rsidRDefault="00770996" w:rsidP="00770996">
      <w:pPr>
        <w:rPr>
          <w:rFonts w:ascii="Arial" w:hAnsi="Arial" w:cs="Arial"/>
        </w:rPr>
      </w:pPr>
      <w:proofErr w:type="spellStart"/>
      <w:r w:rsidRPr="001E100B">
        <w:rPr>
          <w:rFonts w:ascii="Arial" w:hAnsi="Arial" w:cs="Arial"/>
        </w:rPr>
        <w:t>Mr</w:t>
      </w:r>
      <w:proofErr w:type="spellEnd"/>
      <w:r w:rsidRPr="001E100B">
        <w:rPr>
          <w:rFonts w:ascii="Arial" w:hAnsi="Arial" w:cs="Arial"/>
        </w:rPr>
        <w:t xml:space="preserve"> Beaton said the City’s Renewable Energy Program demonstrated the important leadership role that local government could play in transitioning to a net zero emissions future.</w:t>
      </w:r>
    </w:p>
    <w:p w14:paraId="2B1B115A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“The City of Cockburn’s level of commitment to renewable energy is unique for local government in Western Australia. </w:t>
      </w:r>
      <w:r>
        <w:rPr>
          <w:rFonts w:ascii="Arial" w:hAnsi="Arial" w:cs="Arial"/>
        </w:rPr>
        <w:t>T</w:t>
      </w:r>
      <w:r w:rsidRPr="001E100B">
        <w:rPr>
          <w:rFonts w:ascii="Arial" w:hAnsi="Arial" w:cs="Arial"/>
        </w:rPr>
        <w:t xml:space="preserve">he advantage of the City’s approach is that it can be scaled up or down to suit other local governments.” </w:t>
      </w:r>
    </w:p>
    <w:p w14:paraId="48756C75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In September 2020, the City adopted a new target of 100 per cent renewable energy by 2030 and has been proactively embedding renewable energy requirements into Council policies, </w:t>
      </w:r>
      <w:proofErr w:type="gramStart"/>
      <w:r w:rsidRPr="001E100B">
        <w:rPr>
          <w:rFonts w:ascii="Arial" w:hAnsi="Arial" w:cs="Arial"/>
        </w:rPr>
        <w:t>strategies</w:t>
      </w:r>
      <w:proofErr w:type="gramEnd"/>
      <w:r w:rsidRPr="001E100B">
        <w:rPr>
          <w:rFonts w:ascii="Arial" w:hAnsi="Arial" w:cs="Arial"/>
        </w:rPr>
        <w:t xml:space="preserve"> and operations.</w:t>
      </w:r>
    </w:p>
    <w:p w14:paraId="5BCE9846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Established over more than 20 years, the </w:t>
      </w:r>
      <w:r>
        <w:rPr>
          <w:rFonts w:ascii="Arial" w:hAnsi="Arial" w:cs="Arial"/>
        </w:rPr>
        <w:t>program</w:t>
      </w:r>
      <w:r w:rsidRPr="001E100B">
        <w:rPr>
          <w:rFonts w:ascii="Arial" w:hAnsi="Arial" w:cs="Arial"/>
        </w:rPr>
        <w:t xml:space="preserve"> incorporates a blend of initiatives </w:t>
      </w:r>
      <w:r w:rsidRPr="001E100B">
        <w:rPr>
          <w:rFonts w:ascii="Arial" w:hAnsi="Arial" w:cs="Arial"/>
        </w:rPr>
        <w:lastRenderedPageBreak/>
        <w:t xml:space="preserve">such as policy and target setting, research partnerships, </w:t>
      </w:r>
      <w:proofErr w:type="spellStart"/>
      <w:r w:rsidRPr="001E100B">
        <w:rPr>
          <w:rFonts w:ascii="Arial" w:hAnsi="Arial" w:cs="Arial"/>
        </w:rPr>
        <w:t>trialling</w:t>
      </w:r>
      <w:proofErr w:type="spellEnd"/>
      <w:r w:rsidRPr="001E100B">
        <w:rPr>
          <w:rFonts w:ascii="Arial" w:hAnsi="Arial" w:cs="Arial"/>
        </w:rPr>
        <w:t xml:space="preserve"> new technology and education.</w:t>
      </w:r>
    </w:p>
    <w:p w14:paraId="1FB4921E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Under the </w:t>
      </w:r>
      <w:r>
        <w:rPr>
          <w:rFonts w:ascii="Arial" w:hAnsi="Arial" w:cs="Arial"/>
        </w:rPr>
        <w:t>program</w:t>
      </w:r>
      <w:r w:rsidRPr="001E100B">
        <w:rPr>
          <w:rFonts w:ascii="Arial" w:hAnsi="Arial" w:cs="Arial"/>
        </w:rPr>
        <w:t xml:space="preserve">, the </w:t>
      </w:r>
      <w:proofErr w:type="gramStart"/>
      <w:r w:rsidRPr="001E100B">
        <w:rPr>
          <w:rFonts w:ascii="Arial" w:hAnsi="Arial" w:cs="Arial"/>
        </w:rPr>
        <w:t>City</w:t>
      </w:r>
      <w:proofErr w:type="gramEnd"/>
      <w:r w:rsidRPr="001E100B">
        <w:rPr>
          <w:rFonts w:ascii="Arial" w:hAnsi="Arial" w:cs="Arial"/>
        </w:rPr>
        <w:t xml:space="preserve"> has more than 1.5MW of solar infrastructure installed across 22 community buildings. </w:t>
      </w:r>
    </w:p>
    <w:p w14:paraId="6D5656D2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The City also provides electric vehicle charging stations, </w:t>
      </w:r>
      <w:proofErr w:type="spellStart"/>
      <w:r w:rsidRPr="001E100B">
        <w:rPr>
          <w:rFonts w:ascii="Arial" w:hAnsi="Arial" w:cs="Arial"/>
        </w:rPr>
        <w:t>utilises</w:t>
      </w:r>
      <w:proofErr w:type="spellEnd"/>
      <w:r w:rsidRPr="001E100B">
        <w:rPr>
          <w:rFonts w:ascii="Arial" w:hAnsi="Arial" w:cs="Arial"/>
        </w:rPr>
        <w:t xml:space="preserve"> geothermal heating and has established a partnership for methane gas extraction at its waste recovery site in Henderson.</w:t>
      </w:r>
    </w:p>
    <w:p w14:paraId="244DB2E6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>The City’s Greenhouse Action Fund was established in 2011 to</w:t>
      </w:r>
      <w:r>
        <w:rPr>
          <w:rFonts w:ascii="Arial" w:hAnsi="Arial" w:cs="Arial"/>
        </w:rPr>
        <w:t xml:space="preserve"> help</w:t>
      </w:r>
      <w:r w:rsidRPr="001E100B">
        <w:rPr>
          <w:rFonts w:ascii="Arial" w:hAnsi="Arial" w:cs="Arial"/>
        </w:rPr>
        <w:t xml:space="preserve"> finance the Renewable Energy</w:t>
      </w:r>
      <w:r>
        <w:rPr>
          <w:rFonts w:ascii="Arial" w:hAnsi="Arial" w:cs="Arial"/>
        </w:rPr>
        <w:t xml:space="preserve"> Program</w:t>
      </w:r>
      <w:r w:rsidRPr="001E100B">
        <w:rPr>
          <w:rFonts w:ascii="Arial" w:hAnsi="Arial" w:cs="Arial"/>
        </w:rPr>
        <w:t>.</w:t>
      </w:r>
    </w:p>
    <w:p w14:paraId="53D4D7BA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Allocation of </w:t>
      </w:r>
      <w:r>
        <w:rPr>
          <w:rFonts w:ascii="Arial" w:hAnsi="Arial" w:cs="Arial"/>
        </w:rPr>
        <w:t xml:space="preserve">funds includes </w:t>
      </w:r>
      <w:r w:rsidRPr="001E100B">
        <w:rPr>
          <w:rFonts w:ascii="Arial" w:hAnsi="Arial" w:cs="Arial"/>
        </w:rPr>
        <w:t>ongoing savings from previous emission reduction initiatives</w:t>
      </w:r>
      <w:r>
        <w:rPr>
          <w:rFonts w:ascii="Arial" w:hAnsi="Arial" w:cs="Arial"/>
        </w:rPr>
        <w:t xml:space="preserve"> and t</w:t>
      </w:r>
      <w:r w:rsidRPr="001E100B">
        <w:rPr>
          <w:rFonts w:ascii="Arial" w:hAnsi="Arial" w:cs="Arial"/>
        </w:rPr>
        <w:t>o date</w:t>
      </w:r>
      <w:r>
        <w:rPr>
          <w:rFonts w:ascii="Arial" w:hAnsi="Arial" w:cs="Arial"/>
        </w:rPr>
        <w:t xml:space="preserve">, it </w:t>
      </w:r>
      <w:r w:rsidRPr="001E100B">
        <w:rPr>
          <w:rFonts w:ascii="Arial" w:hAnsi="Arial" w:cs="Arial"/>
        </w:rPr>
        <w:t xml:space="preserve">has financed projects valued at more than $2m.  </w:t>
      </w:r>
    </w:p>
    <w:p w14:paraId="2764E0ED" w14:textId="77777777" w:rsidR="00770996" w:rsidRPr="001E100B" w:rsidRDefault="00770996" w:rsidP="00770996">
      <w:pPr>
        <w:rPr>
          <w:rFonts w:ascii="Arial" w:hAnsi="Arial" w:cs="Arial"/>
        </w:rPr>
      </w:pPr>
      <w:r w:rsidRPr="001E100B">
        <w:rPr>
          <w:rFonts w:ascii="Arial" w:hAnsi="Arial" w:cs="Arial"/>
        </w:rPr>
        <w:t xml:space="preserve">The City has </w:t>
      </w:r>
      <w:proofErr w:type="spellStart"/>
      <w:r w:rsidRPr="001E100B">
        <w:rPr>
          <w:rFonts w:ascii="Arial" w:hAnsi="Arial" w:cs="Arial"/>
        </w:rPr>
        <w:t>formalised</w:t>
      </w:r>
      <w:proofErr w:type="spellEnd"/>
      <w:r w:rsidRPr="001E100B">
        <w:rPr>
          <w:rFonts w:ascii="Arial" w:hAnsi="Arial" w:cs="Arial"/>
        </w:rPr>
        <w:t xml:space="preserve"> its commitment to renewable energy by embedding requirements into Council policies, strategies and operations including: </w:t>
      </w:r>
    </w:p>
    <w:p w14:paraId="64159C38" w14:textId="77777777" w:rsidR="00770996" w:rsidRPr="001048CE" w:rsidRDefault="00770996" w:rsidP="00770996">
      <w:pPr>
        <w:widowControl/>
        <w:numPr>
          <w:ilvl w:val="0"/>
          <w:numId w:val="17"/>
        </w:numPr>
        <w:autoSpaceDE/>
        <w:autoSpaceDN/>
        <w:adjustRightInd/>
        <w:spacing w:after="36" w:line="269" w:lineRule="auto"/>
        <w:ind w:hanging="360"/>
        <w:textAlignment w:val="auto"/>
        <w:rPr>
          <w:rFonts w:ascii="Arial" w:hAnsi="Arial" w:cs="Arial"/>
        </w:rPr>
      </w:pPr>
      <w:r w:rsidRPr="001048CE">
        <w:rPr>
          <w:rFonts w:ascii="Arial" w:hAnsi="Arial" w:cs="Arial"/>
        </w:rPr>
        <w:t xml:space="preserve">Renewable Energy Policy </w:t>
      </w:r>
      <w:r>
        <w:rPr>
          <w:rFonts w:ascii="Arial" w:hAnsi="Arial" w:cs="Arial"/>
        </w:rPr>
        <w:t xml:space="preserve">- </w:t>
      </w:r>
      <w:r w:rsidRPr="001048CE">
        <w:rPr>
          <w:rFonts w:ascii="Arial" w:hAnsi="Arial" w:cs="Arial"/>
        </w:rPr>
        <w:t xml:space="preserve">to guide community, </w:t>
      </w:r>
      <w:proofErr w:type="gramStart"/>
      <w:r w:rsidRPr="001048CE">
        <w:rPr>
          <w:rFonts w:ascii="Arial" w:hAnsi="Arial" w:cs="Arial"/>
        </w:rPr>
        <w:t>business</w:t>
      </w:r>
      <w:proofErr w:type="gramEnd"/>
      <w:r w:rsidRPr="001048CE">
        <w:rPr>
          <w:rFonts w:ascii="Arial" w:hAnsi="Arial" w:cs="Arial"/>
        </w:rPr>
        <w:t xml:space="preserve"> and industry </w:t>
      </w:r>
    </w:p>
    <w:p w14:paraId="2C16EC0F" w14:textId="77777777" w:rsidR="00770996" w:rsidRPr="001048CE" w:rsidRDefault="00770996" w:rsidP="00770996">
      <w:pPr>
        <w:widowControl/>
        <w:numPr>
          <w:ilvl w:val="0"/>
          <w:numId w:val="17"/>
        </w:numPr>
        <w:autoSpaceDE/>
        <w:autoSpaceDN/>
        <w:adjustRightInd/>
        <w:spacing w:after="39" w:line="269" w:lineRule="auto"/>
        <w:ind w:hanging="360"/>
        <w:textAlignment w:val="auto"/>
        <w:rPr>
          <w:rFonts w:ascii="Arial" w:hAnsi="Arial" w:cs="Arial"/>
        </w:rPr>
      </w:pPr>
      <w:bookmarkStart w:id="0" w:name="_Hlk119418809"/>
      <w:r w:rsidRPr="001048CE">
        <w:rPr>
          <w:rFonts w:ascii="Arial" w:hAnsi="Arial" w:cs="Arial"/>
        </w:rPr>
        <w:t>Sustainability Policy</w:t>
      </w:r>
      <w:r>
        <w:rPr>
          <w:rFonts w:ascii="Arial" w:hAnsi="Arial" w:cs="Arial"/>
        </w:rPr>
        <w:t xml:space="preserve"> - </w:t>
      </w:r>
      <w:r w:rsidRPr="009D468F">
        <w:rPr>
          <w:rFonts w:ascii="Arial" w:hAnsi="Arial" w:cs="Arial"/>
          <w:color w:val="2C2C2C"/>
          <w:shd w:val="clear" w:color="auto" w:fill="FFFFFF"/>
        </w:rPr>
        <w:t xml:space="preserve">three percent of the total project costs of all new City facilities with budgets exceeding $1m </w:t>
      </w:r>
      <w:r>
        <w:rPr>
          <w:rFonts w:ascii="Arial" w:hAnsi="Arial" w:cs="Arial"/>
          <w:color w:val="2C2C2C"/>
          <w:shd w:val="clear" w:color="auto" w:fill="FFFFFF"/>
        </w:rPr>
        <w:t xml:space="preserve">is </w:t>
      </w:r>
      <w:r w:rsidRPr="009D468F">
        <w:rPr>
          <w:rFonts w:ascii="Arial" w:hAnsi="Arial" w:cs="Arial"/>
          <w:color w:val="2C2C2C"/>
          <w:shd w:val="clear" w:color="auto" w:fill="FFFFFF"/>
        </w:rPr>
        <w:t>set aside for Environmentally Sustainable Design (ESD) initiatives</w:t>
      </w:r>
      <w:r>
        <w:rPr>
          <w:rFonts w:ascii="Arial" w:hAnsi="Arial" w:cs="Arial"/>
          <w:color w:val="2C2C2C"/>
          <w:shd w:val="clear" w:color="auto" w:fill="FFFFFF"/>
        </w:rPr>
        <w:t>, above and beyond standard practice</w:t>
      </w:r>
    </w:p>
    <w:bookmarkEnd w:id="0"/>
    <w:p w14:paraId="066ABB84" w14:textId="77777777" w:rsidR="00770996" w:rsidRPr="001048CE" w:rsidRDefault="00770996" w:rsidP="00770996">
      <w:pPr>
        <w:widowControl/>
        <w:numPr>
          <w:ilvl w:val="0"/>
          <w:numId w:val="17"/>
        </w:numPr>
        <w:autoSpaceDE/>
        <w:autoSpaceDN/>
        <w:adjustRightInd/>
        <w:spacing w:after="36" w:line="269" w:lineRule="auto"/>
        <w:ind w:hanging="360"/>
        <w:textAlignment w:val="auto"/>
        <w:rPr>
          <w:rFonts w:ascii="Arial" w:hAnsi="Arial" w:cs="Arial"/>
        </w:rPr>
      </w:pPr>
      <w:r w:rsidRPr="001048CE">
        <w:rPr>
          <w:rFonts w:ascii="Arial" w:hAnsi="Arial" w:cs="Arial"/>
        </w:rPr>
        <w:t xml:space="preserve">Sustainability Strategy </w:t>
      </w:r>
      <w:r>
        <w:rPr>
          <w:rFonts w:ascii="Arial" w:hAnsi="Arial" w:cs="Arial"/>
        </w:rPr>
        <w:t xml:space="preserve">- </w:t>
      </w:r>
      <w:r w:rsidRPr="001048CE">
        <w:rPr>
          <w:rFonts w:ascii="Arial" w:hAnsi="Arial" w:cs="Arial"/>
        </w:rPr>
        <w:t xml:space="preserve">reinforces renewable targets </w:t>
      </w:r>
    </w:p>
    <w:p w14:paraId="47A8760B" w14:textId="77777777" w:rsidR="00770996" w:rsidRPr="001048CE" w:rsidRDefault="00770996" w:rsidP="00770996">
      <w:pPr>
        <w:widowControl/>
        <w:numPr>
          <w:ilvl w:val="0"/>
          <w:numId w:val="17"/>
        </w:numPr>
        <w:autoSpaceDE/>
        <w:autoSpaceDN/>
        <w:adjustRightInd/>
        <w:spacing w:after="3" w:line="341" w:lineRule="auto"/>
        <w:ind w:hanging="360"/>
        <w:textAlignment w:val="auto"/>
        <w:rPr>
          <w:rFonts w:ascii="Arial" w:hAnsi="Arial" w:cs="Arial"/>
        </w:rPr>
      </w:pPr>
      <w:r w:rsidRPr="001048CE">
        <w:rPr>
          <w:rFonts w:ascii="Arial" w:hAnsi="Arial" w:cs="Arial"/>
        </w:rPr>
        <w:t xml:space="preserve">The Community, Sport and Recreation Facilities Plan </w:t>
      </w:r>
      <w:r>
        <w:rPr>
          <w:rFonts w:ascii="Arial" w:hAnsi="Arial" w:cs="Arial"/>
        </w:rPr>
        <w:t xml:space="preserve">- </w:t>
      </w:r>
      <w:r w:rsidRPr="001048CE">
        <w:rPr>
          <w:rFonts w:ascii="Arial" w:hAnsi="Arial" w:cs="Arial"/>
        </w:rPr>
        <w:t xml:space="preserve">includes ESD requirements </w:t>
      </w:r>
    </w:p>
    <w:p w14:paraId="24C55B97" w14:textId="77777777" w:rsidR="00770996" w:rsidRPr="001048CE" w:rsidRDefault="00770996" w:rsidP="00770996">
      <w:pPr>
        <w:widowControl/>
        <w:numPr>
          <w:ilvl w:val="0"/>
          <w:numId w:val="17"/>
        </w:numPr>
        <w:autoSpaceDE/>
        <w:autoSpaceDN/>
        <w:adjustRightInd/>
        <w:spacing w:after="38" w:line="269" w:lineRule="auto"/>
        <w:ind w:hanging="360"/>
        <w:textAlignment w:val="auto"/>
        <w:rPr>
          <w:rFonts w:ascii="Arial" w:hAnsi="Arial" w:cs="Arial"/>
        </w:rPr>
      </w:pPr>
      <w:r w:rsidRPr="001048CE">
        <w:rPr>
          <w:rFonts w:ascii="Arial" w:hAnsi="Arial" w:cs="Arial"/>
        </w:rPr>
        <w:t xml:space="preserve">State of Sustainability Report </w:t>
      </w:r>
      <w:r>
        <w:rPr>
          <w:rFonts w:ascii="Arial" w:hAnsi="Arial" w:cs="Arial"/>
        </w:rPr>
        <w:t xml:space="preserve">- </w:t>
      </w:r>
      <w:r w:rsidRPr="001048CE">
        <w:rPr>
          <w:rFonts w:ascii="Arial" w:hAnsi="Arial" w:cs="Arial"/>
        </w:rPr>
        <w:t xml:space="preserve">to measure and celebrate success </w:t>
      </w:r>
    </w:p>
    <w:p w14:paraId="34D4C8EE" w14:textId="77777777" w:rsidR="00770996" w:rsidRDefault="00770996" w:rsidP="0069546C">
      <w:pPr>
        <w:widowControl/>
        <w:numPr>
          <w:ilvl w:val="0"/>
          <w:numId w:val="17"/>
        </w:numPr>
        <w:autoSpaceDE/>
        <w:autoSpaceDN/>
        <w:adjustRightInd/>
        <w:spacing w:after="477" w:line="338" w:lineRule="auto"/>
        <w:ind w:hanging="360"/>
        <w:textAlignment w:val="auto"/>
        <w:rPr>
          <w:rFonts w:ascii="Arial" w:hAnsi="Arial" w:cs="Arial"/>
        </w:rPr>
      </w:pPr>
      <w:r w:rsidRPr="00770996">
        <w:rPr>
          <w:rFonts w:ascii="Arial" w:hAnsi="Arial" w:cs="Arial"/>
        </w:rPr>
        <w:t>Climate Change Strategy 2020-2030 - established a 100 per cent renewable energy target by 2030</w:t>
      </w:r>
    </w:p>
    <w:p w14:paraId="2F7BCF2E" w14:textId="7E5242AC" w:rsidR="00770996" w:rsidRPr="00770996" w:rsidRDefault="00770996" w:rsidP="00770996">
      <w:pPr>
        <w:widowControl/>
        <w:autoSpaceDE/>
        <w:autoSpaceDN/>
        <w:adjustRightInd/>
        <w:spacing w:after="477" w:line="338" w:lineRule="auto"/>
        <w:textAlignment w:val="auto"/>
        <w:rPr>
          <w:rFonts w:ascii="Arial" w:hAnsi="Arial" w:cs="Arial"/>
        </w:rPr>
      </w:pPr>
      <w:r w:rsidRPr="00770996">
        <w:rPr>
          <w:rFonts w:ascii="Arial" w:hAnsi="Arial" w:cs="Arial"/>
        </w:rPr>
        <w:t xml:space="preserve">The Local Government Professionals Australia Environmental Leadership and Sustainability Award </w:t>
      </w:r>
      <w:proofErr w:type="spellStart"/>
      <w:r w:rsidRPr="00770996">
        <w:rPr>
          <w:rFonts w:ascii="Arial" w:hAnsi="Arial" w:cs="Arial"/>
        </w:rPr>
        <w:t>recognises</w:t>
      </w:r>
      <w:proofErr w:type="spellEnd"/>
      <w:r w:rsidRPr="00770996">
        <w:rPr>
          <w:rFonts w:ascii="Arial" w:hAnsi="Arial" w:cs="Arial"/>
        </w:rPr>
        <w:t xml:space="preserve"> councils that have developed or delivered ambitious </w:t>
      </w:r>
      <w:proofErr w:type="spellStart"/>
      <w:r w:rsidRPr="00770996">
        <w:rPr>
          <w:rFonts w:ascii="Arial" w:hAnsi="Arial" w:cs="Arial"/>
        </w:rPr>
        <w:t>decarbonisation</w:t>
      </w:r>
      <w:proofErr w:type="spellEnd"/>
      <w:r w:rsidRPr="00770996">
        <w:rPr>
          <w:rFonts w:ascii="Arial" w:hAnsi="Arial" w:cs="Arial"/>
        </w:rPr>
        <w:t xml:space="preserve"> strategies that put them on a net-zero carbon trajectory. </w:t>
      </w:r>
    </w:p>
    <w:p w14:paraId="3BC7DAB3" w14:textId="77777777" w:rsidR="00770996" w:rsidRPr="001E100B" w:rsidRDefault="00770996" w:rsidP="007709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1E100B">
        <w:rPr>
          <w:rFonts w:ascii="Arial" w:hAnsi="Arial" w:cs="Arial"/>
        </w:rPr>
        <w:t xml:space="preserve">udges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</w:t>
      </w:r>
      <w:r w:rsidRPr="001E100B">
        <w:rPr>
          <w:rFonts w:ascii="Arial" w:hAnsi="Arial" w:cs="Arial"/>
        </w:rPr>
        <w:t xml:space="preserve">credible strategies or actions </w:t>
      </w:r>
      <w:r>
        <w:rPr>
          <w:rFonts w:ascii="Arial" w:hAnsi="Arial" w:cs="Arial"/>
        </w:rPr>
        <w:t>t</w:t>
      </w:r>
      <w:r w:rsidRPr="001E100B">
        <w:rPr>
          <w:rFonts w:ascii="Arial" w:hAnsi="Arial" w:cs="Arial"/>
        </w:rPr>
        <w:t>h</w:t>
      </w:r>
      <w:r>
        <w:rPr>
          <w:rFonts w:ascii="Arial" w:hAnsi="Arial" w:cs="Arial"/>
        </w:rPr>
        <w:t>at</w:t>
      </w:r>
      <w:r w:rsidRPr="001E100B">
        <w:rPr>
          <w:rFonts w:ascii="Arial" w:hAnsi="Arial" w:cs="Arial"/>
        </w:rPr>
        <w:t xml:space="preserve"> seek to drastically reduce emissions through clean technologies, innovative energy systems and unique management approaches.</w:t>
      </w:r>
    </w:p>
    <w:p w14:paraId="78F239C4" w14:textId="77777777" w:rsidR="00084914" w:rsidRDefault="00084914" w:rsidP="00084914">
      <w:pPr>
        <w:pStyle w:val="NormalWeb"/>
        <w:shd w:val="clear" w:color="auto" w:fill="FFFFFF"/>
        <w:spacing w:before="0" w:beforeAutospacing="0" w:after="0" w:afterAutospacing="0"/>
        <w:rPr>
          <w:rStyle w:val="eop"/>
        </w:rPr>
      </w:pPr>
    </w:p>
    <w:p w14:paraId="45D1F2D6" w14:textId="7F815A97" w:rsidR="007D026F" w:rsidRPr="007D026F" w:rsidRDefault="007D026F" w:rsidP="007D026F">
      <w:pPr>
        <w:widowControl/>
        <w:autoSpaceDE/>
        <w:autoSpaceDN/>
        <w:adjustRightInd/>
        <w:spacing w:after="0" w:line="240" w:lineRule="auto"/>
        <w:textAlignment w:val="baseline"/>
        <w:rPr>
          <w:rFonts w:ascii="Arial" w:eastAsia="Times New Roman" w:hAnsi="Arial" w:cs="Arial"/>
          <w:color w:val="auto"/>
          <w:lang w:val="en-AU" w:eastAsia="en-AU"/>
        </w:rPr>
      </w:pPr>
      <w:r w:rsidRPr="007D026F">
        <w:rPr>
          <w:rFonts w:ascii="Arial" w:eastAsia="Times New Roman" w:hAnsi="Arial" w:cs="Arial"/>
          <w:color w:val="auto"/>
          <w:lang w:val="en-AU" w:eastAsia="en-AU"/>
        </w:rPr>
        <w:t> </w:t>
      </w: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5F374AAD" w14:textId="6738B486" w:rsidR="00590486" w:rsidRDefault="00590486" w:rsidP="00ED6365">
      <w:pPr>
        <w:pStyle w:val="NoSpacing"/>
      </w:pPr>
    </w:p>
    <w:p w14:paraId="0572652E" w14:textId="10A049CA" w:rsidR="00590486" w:rsidRDefault="00590486" w:rsidP="00ED6365">
      <w:pPr>
        <w:pStyle w:val="NoSpacing"/>
      </w:pPr>
    </w:p>
    <w:p w14:paraId="703B8712" w14:textId="36B9C2B0" w:rsidR="00590486" w:rsidRDefault="00590486" w:rsidP="00ED6365">
      <w:pPr>
        <w:pStyle w:val="NoSpacing"/>
      </w:pPr>
    </w:p>
    <w:p w14:paraId="0F6EAB3D" w14:textId="23ABF9B6" w:rsidR="00590486" w:rsidRDefault="00590486" w:rsidP="00ED6365">
      <w:pPr>
        <w:pStyle w:val="NoSpacing"/>
      </w:pPr>
    </w:p>
    <w:p w14:paraId="17977796" w14:textId="77777777" w:rsidR="00590486" w:rsidRDefault="00590486" w:rsidP="00ED6365">
      <w:pPr>
        <w:pStyle w:val="NoSpacing"/>
      </w:pPr>
    </w:p>
    <w:p w14:paraId="510A15E2" w14:textId="4F6682F2" w:rsidR="00801DF4" w:rsidRDefault="00801DF4" w:rsidP="00ED6365">
      <w:pPr>
        <w:pStyle w:val="NoSpacing"/>
      </w:pPr>
    </w:p>
    <w:p w14:paraId="2ABA66BE" w14:textId="4C043EEB" w:rsidR="00770996" w:rsidRDefault="00770996" w:rsidP="00ED6365">
      <w:pPr>
        <w:pStyle w:val="NoSpacing"/>
      </w:pPr>
    </w:p>
    <w:p w14:paraId="59EEAA8A" w14:textId="341162ED" w:rsidR="00770996" w:rsidRDefault="00770996" w:rsidP="00ED6365">
      <w:pPr>
        <w:pStyle w:val="NoSpacing"/>
      </w:pPr>
    </w:p>
    <w:p w14:paraId="1A0CDC11" w14:textId="7A6333F7" w:rsidR="00770996" w:rsidRDefault="00770996" w:rsidP="00ED6365">
      <w:pPr>
        <w:pStyle w:val="NoSpacing"/>
      </w:pPr>
    </w:p>
    <w:p w14:paraId="4ACD88FC" w14:textId="4A0D07EF" w:rsidR="00770996" w:rsidRDefault="00770996" w:rsidP="00ED6365">
      <w:pPr>
        <w:pStyle w:val="NoSpacing"/>
      </w:pPr>
    </w:p>
    <w:p w14:paraId="70F6343D" w14:textId="303EEEE3" w:rsidR="00770996" w:rsidRDefault="00770996" w:rsidP="00ED6365">
      <w:pPr>
        <w:pStyle w:val="NoSpacing"/>
      </w:pPr>
    </w:p>
    <w:p w14:paraId="795F5580" w14:textId="596003F0" w:rsidR="00770996" w:rsidRDefault="00770996" w:rsidP="00ED6365">
      <w:pPr>
        <w:pStyle w:val="NoSpacing"/>
      </w:pPr>
    </w:p>
    <w:p w14:paraId="5383F284" w14:textId="07FB941D" w:rsidR="00770996" w:rsidRDefault="00770996" w:rsidP="00ED6365">
      <w:pPr>
        <w:pStyle w:val="NoSpacing"/>
      </w:pPr>
    </w:p>
    <w:p w14:paraId="596DCE10" w14:textId="6487181F" w:rsidR="00770996" w:rsidRDefault="00770996" w:rsidP="00ED6365">
      <w:pPr>
        <w:pStyle w:val="NoSpacing"/>
      </w:pPr>
    </w:p>
    <w:p w14:paraId="2DB55513" w14:textId="208D7E64" w:rsidR="00770996" w:rsidRDefault="00770996" w:rsidP="00ED6365">
      <w:pPr>
        <w:pStyle w:val="NoSpacing"/>
      </w:pPr>
    </w:p>
    <w:p w14:paraId="6F36768D" w14:textId="176EF038" w:rsidR="00770996" w:rsidRDefault="00770996" w:rsidP="00ED6365">
      <w:pPr>
        <w:pStyle w:val="NoSpacing"/>
      </w:pPr>
    </w:p>
    <w:p w14:paraId="16024487" w14:textId="700B9AA6" w:rsidR="00770996" w:rsidRDefault="00770996" w:rsidP="00ED6365">
      <w:pPr>
        <w:pStyle w:val="NoSpacing"/>
      </w:pPr>
    </w:p>
    <w:p w14:paraId="0838C792" w14:textId="054CE9DC" w:rsidR="00770996" w:rsidRDefault="00770996" w:rsidP="00ED6365">
      <w:pPr>
        <w:pStyle w:val="NoSpacing"/>
      </w:pPr>
    </w:p>
    <w:p w14:paraId="72B44AC6" w14:textId="09A5946E" w:rsidR="00770996" w:rsidRDefault="00770996" w:rsidP="00ED6365">
      <w:pPr>
        <w:pStyle w:val="NoSpacing"/>
      </w:pPr>
    </w:p>
    <w:p w14:paraId="303BF53C" w14:textId="073BDE42" w:rsidR="00770996" w:rsidRDefault="00770996" w:rsidP="00ED6365">
      <w:pPr>
        <w:pStyle w:val="NoSpacing"/>
      </w:pPr>
    </w:p>
    <w:p w14:paraId="1ECA4D31" w14:textId="520001A7" w:rsidR="00770996" w:rsidRDefault="00770996" w:rsidP="00ED6365">
      <w:pPr>
        <w:pStyle w:val="NoSpacing"/>
      </w:pPr>
    </w:p>
    <w:p w14:paraId="654C4DFD" w14:textId="3B58D973" w:rsidR="00770996" w:rsidRDefault="00770996" w:rsidP="00ED6365">
      <w:pPr>
        <w:pStyle w:val="NoSpacing"/>
      </w:pPr>
    </w:p>
    <w:p w14:paraId="5A9AD1E4" w14:textId="0072EBC1" w:rsidR="00770996" w:rsidRDefault="00770996" w:rsidP="00ED6365">
      <w:pPr>
        <w:pStyle w:val="NoSpacing"/>
      </w:pPr>
    </w:p>
    <w:p w14:paraId="549DD762" w14:textId="77777777" w:rsidR="00770996" w:rsidRDefault="00770996" w:rsidP="00ED6365">
      <w:pPr>
        <w:pStyle w:val="NoSpacing"/>
      </w:pPr>
    </w:p>
    <w:p w14:paraId="25BD7FD4" w14:textId="71DDB484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770996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0B62"/>
    <w:multiLevelType w:val="hybridMultilevel"/>
    <w:tmpl w:val="DA2099E2"/>
    <w:lvl w:ilvl="0" w:tplc="1F845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E6E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84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847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AF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3A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EA7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A4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C56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7C9"/>
    <w:multiLevelType w:val="hybridMultilevel"/>
    <w:tmpl w:val="E1421ED2"/>
    <w:lvl w:ilvl="0" w:tplc="64625BC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4914"/>
    <w:rsid w:val="00087002"/>
    <w:rsid w:val="000A0692"/>
    <w:rsid w:val="000B75B7"/>
    <w:rsid w:val="000D427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2279D"/>
    <w:rsid w:val="004C3DBA"/>
    <w:rsid w:val="004E33FA"/>
    <w:rsid w:val="004E4ADE"/>
    <w:rsid w:val="005165D1"/>
    <w:rsid w:val="005579CA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0996"/>
    <w:rsid w:val="007769D9"/>
    <w:rsid w:val="00786422"/>
    <w:rsid w:val="007C6235"/>
    <w:rsid w:val="007D026F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2BE8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B4D5D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79CA"/>
    <w:pPr>
      <w:widowControl/>
      <w:autoSpaceDE/>
      <w:autoSpaceDN/>
      <w:adjustRightInd/>
      <w:spacing w:after="0" w:line="240" w:lineRule="auto"/>
      <w:textAlignment w:val="auto"/>
    </w:pPr>
    <w:rPr>
      <w:rFonts w:ascii="Calibri" w:eastAsiaTheme="minorHAnsi" w:hAnsi="Calibri" w:cs="Calibri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2022-11-16T01:12:00Z</dcterms:created>
  <dcterms:modified xsi:type="dcterms:W3CDTF">2022-11-16T01:12:00Z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